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Hlk91856002"/>
      <w:bookmarkEnd w:id="0"/>
      <w:bookmarkStart w:id="1" w:name="_Hlk91856954"/>
      <w:r>
        <w:rPr>
          <w:rFonts w:hint="eastAsia" w:ascii="黑体" w:hAnsi="黑体" w:eastAsia="黑体" w:cs="黑体"/>
          <w:sz w:val="36"/>
          <w:szCs w:val="36"/>
        </w:rPr>
        <w:t>天津大学 2022年高水平运动队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招生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100"/>
        <w:ind w:left="420" w:right="635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各项目测试内容及要求</w:t>
      </w:r>
    </w:p>
    <w:p>
      <w:pPr>
        <w:pStyle w:val="4"/>
        <w:spacing w:before="19"/>
        <w:ind w:left="0"/>
        <w:rPr>
          <w:sz w:val="27"/>
        </w:rPr>
      </w:pPr>
    </w:p>
    <w:p>
      <w:pPr>
        <w:spacing w:after="12" w:line="534" w:lineRule="exact"/>
        <w:ind w:right="633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一</w:t>
      </w:r>
      <w:r>
        <w:rPr>
          <w:rFonts w:asciiTheme="minorEastAsia" w:hAnsiTheme="minorEastAsia" w:eastAsiaTheme="minorEastAsia"/>
          <w:sz w:val="28"/>
          <w:szCs w:val="28"/>
        </w:rPr>
        <w:t>、游泳测试项目</w:t>
      </w:r>
    </w:p>
    <w:p>
      <w:pPr>
        <w:spacing w:after="100" w:afterAutospacing="1" w:line="534" w:lineRule="exact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按照教育部</w:t>
      </w:r>
      <w:r>
        <w:rPr>
          <w:rFonts w:asciiTheme="minorEastAsia" w:hAnsiTheme="minorEastAsia" w:eastAsiaTheme="minorEastAsia"/>
          <w:sz w:val="24"/>
          <w:szCs w:val="24"/>
        </w:rPr>
        <w:t>要求</w:t>
      </w:r>
      <w:r>
        <w:rPr>
          <w:rFonts w:hint="eastAsia" w:asciiTheme="minorEastAsia" w:hAnsiTheme="minorEastAsia" w:eastAsiaTheme="minorEastAsia"/>
          <w:sz w:val="24"/>
          <w:szCs w:val="24"/>
        </w:rPr>
        <w:t>参加</w:t>
      </w:r>
      <w:r>
        <w:rPr>
          <w:rFonts w:asciiTheme="minorEastAsia" w:hAnsiTheme="minorEastAsia" w:eastAsiaTheme="minorEastAsia"/>
          <w:sz w:val="24"/>
          <w:szCs w:val="24"/>
        </w:rPr>
        <w:t>专项全国统测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numPr>
          <w:ilvl w:val="0"/>
          <w:numId w:val="1"/>
        </w:numPr>
        <w:spacing w:after="100" w:afterAutospacing="1" w:line="534" w:lineRule="exact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田径测试项目</w:t>
      </w:r>
    </w:p>
    <w:p>
      <w:pPr>
        <w:spacing w:after="12" w:line="534" w:lineRule="exact"/>
        <w:ind w:right="633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（一）考</w:t>
      </w:r>
      <w:r>
        <w:rPr>
          <w:rFonts w:hint="eastAsia" w:asciiTheme="minorEastAsia" w:hAnsiTheme="minorEastAsia" w:eastAsiaTheme="minorEastAsia"/>
          <w:sz w:val="24"/>
          <w:szCs w:val="24"/>
        </w:rPr>
        <w:t>核指标与所占分值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9"/>
        <w:gridCol w:w="4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93" w:type="dxa"/>
            <w:vAlign w:val="center"/>
          </w:tcPr>
          <w:p>
            <w:pPr>
              <w:spacing w:after="12" w:line="534" w:lineRule="exact"/>
              <w:ind w:right="633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类别</w:t>
            </w:r>
          </w:p>
        </w:tc>
        <w:tc>
          <w:tcPr>
            <w:tcW w:w="4493" w:type="dxa"/>
            <w:vAlign w:val="center"/>
          </w:tcPr>
          <w:p>
            <w:pPr>
              <w:spacing w:after="12" w:line="534" w:lineRule="exact"/>
              <w:ind w:right="633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实战能力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93" w:type="dxa"/>
            <w:vAlign w:val="center"/>
          </w:tcPr>
          <w:p>
            <w:pPr>
              <w:spacing w:after="12" w:line="534" w:lineRule="exact"/>
              <w:ind w:right="633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考核指标</w:t>
            </w:r>
          </w:p>
        </w:tc>
        <w:tc>
          <w:tcPr>
            <w:tcW w:w="4493" w:type="dxa"/>
            <w:vAlign w:val="center"/>
          </w:tcPr>
          <w:p>
            <w:pPr>
              <w:spacing w:after="12" w:line="534" w:lineRule="exact"/>
              <w:ind w:right="633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专项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493" w:type="dxa"/>
            <w:vAlign w:val="center"/>
          </w:tcPr>
          <w:p>
            <w:pPr>
              <w:spacing w:after="12" w:line="534" w:lineRule="exact"/>
              <w:ind w:right="633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分值</w:t>
            </w:r>
          </w:p>
        </w:tc>
        <w:tc>
          <w:tcPr>
            <w:tcW w:w="4493" w:type="dxa"/>
            <w:vAlign w:val="center"/>
          </w:tcPr>
          <w:p>
            <w:pPr>
              <w:spacing w:after="12" w:line="534" w:lineRule="exact"/>
              <w:ind w:right="633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00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分</w:t>
            </w:r>
          </w:p>
        </w:tc>
      </w:tr>
    </w:tbl>
    <w:p>
      <w:pPr>
        <w:spacing w:after="12" w:line="534" w:lineRule="exact"/>
        <w:ind w:right="633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（二）考试方法与评分标准</w:t>
      </w:r>
    </w:p>
    <w:p>
      <w:pPr>
        <w:spacing w:after="12" w:line="534" w:lineRule="exact"/>
        <w:ind w:right="633"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t>.</w:t>
      </w:r>
      <w:r>
        <w:rPr>
          <w:rFonts w:hint="eastAsia" w:asciiTheme="minorEastAsia" w:hAnsiTheme="minorEastAsia" w:eastAsiaTheme="minorEastAsia"/>
          <w:sz w:val="24"/>
          <w:szCs w:val="24"/>
        </w:rPr>
        <w:t>考试项目</w:t>
      </w:r>
    </w:p>
    <w:tbl>
      <w:tblPr>
        <w:tblStyle w:val="12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5"/>
        <w:gridCol w:w="3663"/>
        <w:gridCol w:w="36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334" w:right="33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0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男子项目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0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女子项目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100 米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2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100 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200 米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2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200 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195" w:type="dxa"/>
          </w:tcPr>
          <w:p>
            <w:pPr>
              <w:pStyle w:val="14"/>
              <w:spacing w:line="451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3663" w:type="dxa"/>
          </w:tcPr>
          <w:p>
            <w:pPr>
              <w:pStyle w:val="14"/>
              <w:spacing w:line="451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400 米</w:t>
            </w:r>
          </w:p>
        </w:tc>
        <w:tc>
          <w:tcPr>
            <w:tcW w:w="3665" w:type="dxa"/>
          </w:tcPr>
          <w:p>
            <w:pPr>
              <w:pStyle w:val="14"/>
              <w:spacing w:line="451" w:lineRule="exact"/>
              <w:ind w:left="912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400 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800 米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2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800 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1500 米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2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1500 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6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0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跳高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0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跳高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7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0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跳远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0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跳远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8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0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三级跳远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910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三级跳远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195" w:type="dxa"/>
          </w:tcPr>
          <w:p>
            <w:pPr>
              <w:pStyle w:val="14"/>
              <w:spacing w:line="450" w:lineRule="exact"/>
              <w:ind w:left="4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9</w:t>
            </w:r>
          </w:p>
        </w:tc>
        <w:tc>
          <w:tcPr>
            <w:tcW w:w="3663" w:type="dxa"/>
          </w:tcPr>
          <w:p>
            <w:pPr>
              <w:pStyle w:val="14"/>
              <w:spacing w:line="450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110 米栏（1.067）</w:t>
            </w:r>
          </w:p>
        </w:tc>
        <w:tc>
          <w:tcPr>
            <w:tcW w:w="3665" w:type="dxa"/>
          </w:tcPr>
          <w:p>
            <w:pPr>
              <w:pStyle w:val="14"/>
              <w:spacing w:line="450" w:lineRule="exact"/>
              <w:ind w:left="912" w:right="902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100 米栏（0.84)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95" w:type="dxa"/>
          </w:tcPr>
          <w:p>
            <w:pPr>
              <w:pStyle w:val="14"/>
              <w:spacing w:line="448" w:lineRule="exact"/>
              <w:ind w:left="334" w:right="33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10</w:t>
            </w:r>
          </w:p>
        </w:tc>
        <w:tc>
          <w:tcPr>
            <w:tcW w:w="3663" w:type="dxa"/>
          </w:tcPr>
          <w:p>
            <w:pPr>
              <w:pStyle w:val="14"/>
              <w:spacing w:line="448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400 米栏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.914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）</w:t>
            </w:r>
          </w:p>
        </w:tc>
        <w:tc>
          <w:tcPr>
            <w:tcW w:w="3665" w:type="dxa"/>
          </w:tcPr>
          <w:p>
            <w:pPr>
              <w:pStyle w:val="14"/>
              <w:spacing w:line="448" w:lineRule="exact"/>
              <w:ind w:left="792" w:right="78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400 米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栏（0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.762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）</w:t>
            </w:r>
          </w:p>
        </w:tc>
      </w:tr>
    </w:tbl>
    <w:p>
      <w:pPr>
        <w:spacing w:line="440" w:lineRule="exact"/>
        <w:ind w:firstLine="440" w:firstLineChars="20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备注：田径测试项目必须与考生所持有的运动等级证书项目一致，每名考生只能报名一个项目。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/>
          <w:sz w:val="24"/>
          <w:szCs w:val="24"/>
        </w:rPr>
        <w:t>.</w:t>
      </w:r>
      <w:r>
        <w:rPr>
          <w:rFonts w:hint="eastAsia" w:asciiTheme="minorEastAsia" w:hAnsiTheme="minorEastAsia" w:eastAsiaTheme="minorEastAsia"/>
          <w:sz w:val="24"/>
          <w:szCs w:val="24"/>
        </w:rPr>
        <w:t>径赛项目考试采用一次性比赛，使用电动计时或手动计时计取成绩，参照评分标准换算成得分。使用手计时，每道须由三名计时员计取成绩，所计成绩的中间值或相同值为最终成绩。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t>.</w:t>
      </w:r>
      <w:r>
        <w:rPr>
          <w:rFonts w:hint="eastAsia" w:asciiTheme="minorEastAsia" w:hAnsiTheme="minorEastAsia" w:eastAsiaTheme="minorEastAsia"/>
          <w:sz w:val="24"/>
          <w:szCs w:val="24"/>
        </w:rPr>
        <w:t>径赛项目考试中，对每组第一次起跑犯规的考生应给予警告，只允许考生有一次起跑犯规而不被取消资格，之后同一组的一名或多名考生每次起跑犯规，均将被取消该项比赛资格。如考试使用起跑犯规监视设备，起跑犯规的判罚将依据起跑犯规监视设备上的起跑反应时为准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</w:t>
      </w:r>
      <w:r>
        <w:rPr>
          <w:rFonts w:asciiTheme="minorEastAsia" w:hAnsiTheme="minorEastAsia" w:eastAsiaTheme="minorEastAsia"/>
          <w:sz w:val="24"/>
          <w:szCs w:val="24"/>
        </w:rPr>
        <w:t>.田赛项目</w:t>
      </w:r>
      <w:r>
        <w:rPr>
          <w:rFonts w:hint="eastAsia" w:asciiTheme="minorEastAsia" w:hAnsiTheme="minorEastAsia" w:eastAsiaTheme="minorEastAsia"/>
          <w:sz w:val="24"/>
          <w:szCs w:val="24"/>
        </w:rPr>
        <w:t>（跳远、三级跳远）考试</w:t>
      </w:r>
      <w:r>
        <w:rPr>
          <w:rFonts w:asciiTheme="minorEastAsia" w:hAnsiTheme="minorEastAsia" w:eastAsiaTheme="minorEastAsia"/>
          <w:sz w:val="24"/>
          <w:szCs w:val="24"/>
        </w:rPr>
        <w:t>，每名考生均有</w:t>
      </w:r>
      <w:r>
        <w:rPr>
          <w:rFonts w:hint="eastAsia"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t>次试跳机会，计取最好成绩换算成得分。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5</w:t>
      </w:r>
      <w:r>
        <w:rPr>
          <w:rFonts w:asciiTheme="minorEastAsia" w:hAnsiTheme="minorEastAsia" w:eastAsiaTheme="minorEastAsia"/>
          <w:sz w:val="24"/>
          <w:szCs w:val="24"/>
        </w:rPr>
        <w:t>.</w:t>
      </w:r>
      <w:r>
        <w:rPr>
          <w:rFonts w:hint="eastAsia" w:asciiTheme="minorEastAsia" w:hAnsiTheme="minorEastAsia" w:eastAsiaTheme="minorEastAsia"/>
          <w:sz w:val="24"/>
          <w:szCs w:val="24"/>
        </w:rPr>
        <w:t>跨栏采用的栏架高度，均以国际田联最新田径竞赛规则规定的成人比赛器材规格为标准。</w:t>
      </w:r>
    </w:p>
    <w:p>
      <w:pPr>
        <w:spacing w:line="440" w:lineRule="exac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</w:t>
      </w:r>
      <w:r>
        <w:rPr>
          <w:rFonts w:asciiTheme="minorEastAsia" w:hAnsiTheme="minorEastAsia" w:eastAsiaTheme="minorEastAsia"/>
          <w:sz w:val="24"/>
          <w:szCs w:val="24"/>
        </w:rPr>
        <w:t xml:space="preserve">               跨栏考试采用的栏架高度（单位：米）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2140"/>
        <w:gridCol w:w="2132"/>
        <w:gridCol w:w="2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6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组别</w:t>
            </w:r>
          </w:p>
        </w:tc>
        <w:tc>
          <w:tcPr>
            <w:tcW w:w="2246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10米栏</w:t>
            </w:r>
          </w:p>
        </w:tc>
        <w:tc>
          <w:tcPr>
            <w:tcW w:w="2247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00米栏</w:t>
            </w:r>
          </w:p>
        </w:tc>
        <w:tc>
          <w:tcPr>
            <w:tcW w:w="2247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00米栏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6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男子</w:t>
            </w:r>
          </w:p>
        </w:tc>
        <w:tc>
          <w:tcPr>
            <w:tcW w:w="2246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.067</w:t>
            </w:r>
          </w:p>
        </w:tc>
        <w:tc>
          <w:tcPr>
            <w:tcW w:w="2247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—</w:t>
            </w:r>
          </w:p>
        </w:tc>
        <w:tc>
          <w:tcPr>
            <w:tcW w:w="2247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.914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6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女子</w:t>
            </w:r>
          </w:p>
        </w:tc>
        <w:tc>
          <w:tcPr>
            <w:tcW w:w="2246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—</w:t>
            </w:r>
          </w:p>
        </w:tc>
        <w:tc>
          <w:tcPr>
            <w:tcW w:w="2247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.84</w:t>
            </w:r>
          </w:p>
        </w:tc>
        <w:tc>
          <w:tcPr>
            <w:tcW w:w="2247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.762</w:t>
            </w:r>
          </w:p>
        </w:tc>
      </w:tr>
    </w:tbl>
    <w:p>
      <w:pPr>
        <w:spacing w:line="440" w:lineRule="exac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</w:t>
      </w:r>
      <w:r>
        <w:rPr>
          <w:rFonts w:asciiTheme="minorEastAsia" w:hAnsiTheme="minorEastAsia" w:eastAsiaTheme="minorEastAsia"/>
          <w:sz w:val="28"/>
          <w:szCs w:val="28"/>
        </w:rPr>
        <w:t xml:space="preserve">  </w:t>
      </w:r>
      <w:r>
        <w:rPr>
          <w:rFonts w:asciiTheme="minorEastAsia" w:hAnsiTheme="minorEastAsia" w:eastAsiaTheme="minorEastAsia"/>
          <w:sz w:val="24"/>
          <w:szCs w:val="24"/>
        </w:rPr>
        <w:t>6.</w:t>
      </w:r>
      <w:r>
        <w:rPr>
          <w:rFonts w:hint="eastAsia" w:asciiTheme="minorEastAsia" w:hAnsiTheme="minorEastAsia" w:eastAsiaTheme="minorEastAsia"/>
          <w:sz w:val="24"/>
          <w:szCs w:val="24"/>
        </w:rPr>
        <w:t>评分标准参考国家体育总局发布的《体育专项考试方法与评分标准</w:t>
      </w:r>
      <w:r>
        <w:rPr>
          <w:rFonts w:asciiTheme="minorEastAsia" w:hAnsiTheme="minorEastAsia" w:eastAsia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/>
          <w:sz w:val="24"/>
          <w:szCs w:val="24"/>
        </w:rPr>
        <w:t>田径》中各项评分标准。</w:t>
      </w:r>
    </w:p>
    <w:p>
      <w:pPr>
        <w:spacing w:after="12" w:line="534" w:lineRule="exact"/>
        <w:ind w:right="633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三、篮</w:t>
      </w:r>
      <w:r>
        <w:rPr>
          <w:rFonts w:asciiTheme="minorEastAsia" w:hAnsiTheme="minorEastAsia" w:eastAsiaTheme="minorEastAsia"/>
          <w:sz w:val="28"/>
          <w:szCs w:val="28"/>
        </w:rPr>
        <w:t>球测试项目</w:t>
      </w:r>
    </w:p>
    <w:p>
      <w:pPr>
        <w:spacing w:before="13" w:line="592" w:lineRule="exact"/>
        <w:ind w:left="12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（</w:t>
      </w:r>
      <w:r>
        <w:rPr>
          <w:rFonts w:asciiTheme="majorEastAsia" w:hAnsiTheme="majorEastAsia" w:eastAsiaTheme="majorEastAsia"/>
          <w:sz w:val="24"/>
        </w:rPr>
        <w:t>一</w:t>
      </w:r>
      <w:r>
        <w:rPr>
          <w:rFonts w:hint="eastAsia" w:cs="宋体" w:asciiTheme="majorEastAsia" w:hAnsiTheme="majorEastAsia" w:eastAsiaTheme="majorEastAsia"/>
          <w:sz w:val="24"/>
        </w:rPr>
        <w:t>）考核指标与所占分值</w:t>
      </w:r>
    </w:p>
    <w:tbl>
      <w:tblPr>
        <w:tblStyle w:val="10"/>
        <w:tblW w:w="0" w:type="auto"/>
        <w:tblInd w:w="1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746"/>
        <w:gridCol w:w="1350"/>
        <w:gridCol w:w="2287"/>
        <w:gridCol w:w="1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类别</w:t>
            </w:r>
          </w:p>
        </w:tc>
        <w:tc>
          <w:tcPr>
            <w:tcW w:w="1843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专项素质</w:t>
            </w:r>
          </w:p>
        </w:tc>
        <w:tc>
          <w:tcPr>
            <w:tcW w:w="3842" w:type="dxa"/>
            <w:gridSpan w:val="2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专项技术</w:t>
            </w:r>
          </w:p>
        </w:tc>
        <w:tc>
          <w:tcPr>
            <w:tcW w:w="1775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实战能力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考核指标</w:t>
            </w:r>
          </w:p>
        </w:tc>
        <w:tc>
          <w:tcPr>
            <w:tcW w:w="1843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摸高</w:t>
            </w:r>
          </w:p>
        </w:tc>
        <w:tc>
          <w:tcPr>
            <w:tcW w:w="1417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投篮</w:t>
            </w:r>
          </w:p>
        </w:tc>
        <w:tc>
          <w:tcPr>
            <w:tcW w:w="2425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多种变向运球上篮</w:t>
            </w:r>
          </w:p>
        </w:tc>
        <w:tc>
          <w:tcPr>
            <w:tcW w:w="1775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分值</w:t>
            </w:r>
          </w:p>
        </w:tc>
        <w:tc>
          <w:tcPr>
            <w:tcW w:w="1843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2</w:t>
            </w:r>
            <w:r>
              <w:rPr>
                <w:rFonts w:asciiTheme="majorEastAsia" w:hAnsiTheme="majorEastAsia" w:eastAsiaTheme="majorEastAsia"/>
                <w:sz w:val="24"/>
              </w:rPr>
              <w:t>0</w:t>
            </w:r>
            <w:r>
              <w:rPr>
                <w:rFonts w:hint="eastAsia" w:asciiTheme="majorEastAsia" w:hAnsiTheme="majorEastAsia" w:eastAsiaTheme="majorEastAsia"/>
                <w:sz w:val="24"/>
              </w:rPr>
              <w:t>分</w:t>
            </w:r>
          </w:p>
        </w:tc>
        <w:tc>
          <w:tcPr>
            <w:tcW w:w="1417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2</w:t>
            </w:r>
            <w:r>
              <w:rPr>
                <w:rFonts w:asciiTheme="majorEastAsia" w:hAnsiTheme="majorEastAsia" w:eastAsiaTheme="majorEastAsia"/>
                <w:sz w:val="24"/>
              </w:rPr>
              <w:t>0</w:t>
            </w:r>
            <w:r>
              <w:rPr>
                <w:rFonts w:hint="eastAsia" w:asciiTheme="majorEastAsia" w:hAnsiTheme="majorEastAsia" w:eastAsiaTheme="majorEastAsia"/>
                <w:sz w:val="24"/>
              </w:rPr>
              <w:t>分</w:t>
            </w:r>
          </w:p>
        </w:tc>
        <w:tc>
          <w:tcPr>
            <w:tcW w:w="2425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2</w:t>
            </w:r>
            <w:r>
              <w:rPr>
                <w:rFonts w:asciiTheme="majorEastAsia" w:hAnsiTheme="majorEastAsia" w:eastAsiaTheme="majorEastAsia"/>
                <w:sz w:val="24"/>
              </w:rPr>
              <w:t>0</w:t>
            </w:r>
            <w:r>
              <w:rPr>
                <w:rFonts w:hint="eastAsia" w:asciiTheme="majorEastAsia" w:hAnsiTheme="majorEastAsia" w:eastAsiaTheme="majorEastAsia"/>
                <w:sz w:val="24"/>
              </w:rPr>
              <w:t>分</w:t>
            </w:r>
          </w:p>
        </w:tc>
        <w:tc>
          <w:tcPr>
            <w:tcW w:w="1775" w:type="dxa"/>
            <w:vAlign w:val="center"/>
          </w:tcPr>
          <w:p>
            <w:pPr>
              <w:spacing w:before="13" w:line="592" w:lineRule="exact"/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4</w:t>
            </w:r>
            <w:r>
              <w:rPr>
                <w:rFonts w:asciiTheme="majorEastAsia" w:hAnsiTheme="majorEastAsia" w:eastAsiaTheme="majorEastAsia"/>
                <w:sz w:val="24"/>
              </w:rPr>
              <w:t>0</w:t>
            </w:r>
            <w:r>
              <w:rPr>
                <w:rFonts w:hint="eastAsia" w:asciiTheme="majorEastAsia" w:hAnsiTheme="majorEastAsia" w:eastAsiaTheme="majorEastAsia"/>
                <w:sz w:val="24"/>
              </w:rPr>
              <w:t>分</w:t>
            </w:r>
          </w:p>
        </w:tc>
      </w:tr>
    </w:tbl>
    <w:p>
      <w:pPr>
        <w:spacing w:before="13" w:line="592" w:lineRule="exac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（二）考试方法与评分标准</w:t>
      </w:r>
    </w:p>
    <w:p>
      <w:pPr>
        <w:spacing w:before="13" w:line="592" w:lineRule="exact"/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专项素质——摸高</w:t>
      </w:r>
    </w:p>
    <w:p>
      <w:pPr>
        <w:spacing w:before="13" w:line="592" w:lineRule="exact"/>
        <w:ind w:firstLine="240" w:firstLineChars="1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（1）考试方法：考生助跑起跳摸高，单手触摸电子摸高器或有固定标尺的高物，记录绝对高度。助跑距离和起跳方式不限。每人测试2次，取最好成绩（精确到厘米）。</w:t>
      </w:r>
    </w:p>
    <w:p>
      <w:pPr>
        <w:spacing w:before="13" w:line="592" w:lineRule="exact"/>
        <w:ind w:firstLine="240" w:firstLineChars="100"/>
        <w:rPr>
          <w:rFonts w:asciiTheme="majorEastAsia" w:hAnsiTheme="majorEastAsia" w:eastAsiaTheme="majorEastAsia"/>
          <w:sz w:val="24"/>
        </w:rPr>
      </w:pPr>
    </w:p>
    <w:p>
      <w:pPr>
        <w:spacing w:before="13" w:line="592" w:lineRule="exact"/>
        <w:ind w:firstLine="240" w:firstLineChars="100"/>
        <w:rPr>
          <w:rFonts w:asciiTheme="majorEastAsia" w:hAnsiTheme="majorEastAsia" w:eastAsiaTheme="majorEastAsia"/>
          <w:sz w:val="24"/>
        </w:rPr>
      </w:pPr>
    </w:p>
    <w:p>
      <w:pPr>
        <w:rPr>
          <w:rFonts w:hint="eastAsia" w:eastAsiaTheme="minorEastAsia"/>
        </w:rPr>
      </w:pPr>
      <w:r>
        <w:rPr>
          <w:rFonts w:eastAsiaTheme="minor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1447800</wp:posOffset>
            </wp:positionV>
            <wp:extent cx="5514975" cy="6504940"/>
            <wp:effectExtent l="0" t="0" r="9525" b="0"/>
            <wp:wrapTight wrapText="bothSides">
              <wp:wrapPolygon>
                <wp:start x="0" y="0"/>
                <wp:lineTo x="0" y="21507"/>
                <wp:lineTo x="21563" y="21507"/>
                <wp:lineTo x="21563" y="0"/>
                <wp:lineTo x="0" y="0"/>
              </wp:wrapPolygon>
            </wp:wrapTight>
            <wp:docPr id="4" name="图片 4" descr="C:\Users\dell\AppData\Local\Temp\1640935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AppData\Local\Temp\1640935020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85725</wp:posOffset>
            </wp:positionV>
            <wp:extent cx="5543550" cy="1409700"/>
            <wp:effectExtent l="0" t="0" r="0" b="0"/>
            <wp:wrapTight wrapText="bothSides">
              <wp:wrapPolygon>
                <wp:start x="0" y="0"/>
                <wp:lineTo x="0" y="21308"/>
                <wp:lineTo x="21526" y="21308"/>
                <wp:lineTo x="21526" y="0"/>
                <wp:lineTo x="0" y="0"/>
              </wp:wrapPolygon>
            </wp:wrapTight>
            <wp:docPr id="3" name="图片 3" descr="C:\Users\dell\AppData\Local\Temp\16409349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1640934973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6918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</w:rPr>
        <w:t xml:space="preserve"> </w:t>
      </w:r>
    </w:p>
    <w:p>
      <w:pPr>
        <w:spacing w:before="13" w:line="592" w:lineRule="exact"/>
        <w:ind w:firstLine="440" w:firstLineChars="200"/>
        <w:rPr>
          <w:rFonts w:hint="eastAsia" w:eastAsiaTheme="minorEastAsia"/>
        </w:rPr>
      </w:pPr>
      <w:r>
        <w:rPr>
          <w:rFonts w:eastAsiaTheme="minorEastAsia"/>
        </w:rPr>
        <w:t xml:space="preserve"> </w:t>
      </w:r>
    </w:p>
    <w:p>
      <w:pPr>
        <w:spacing w:before="13" w:line="592" w:lineRule="exact"/>
        <w:ind w:firstLine="560" w:firstLineChars="200"/>
        <w:rPr>
          <w:rFonts w:asciiTheme="majorEastAsia" w:hAnsiTheme="majorEastAsia" w:eastAsiaTheme="majorEastAsia"/>
          <w:sz w:val="24"/>
        </w:rPr>
      </w:pPr>
      <w:r>
        <w:rPr>
          <w:rFonts w:eastAsiaTheme="minorEastAsia"/>
          <w:sz w:val="28"/>
        </w:rPr>
        <w:t xml:space="preserve"> </w:t>
      </w:r>
      <w:r>
        <w:rPr>
          <w:rFonts w:asciiTheme="majorEastAsia" w:hAnsiTheme="majorEastAsia" w:eastAsiaTheme="majorEastAsia"/>
          <w:sz w:val="24"/>
        </w:rPr>
        <w:t>2.</w:t>
      </w:r>
      <w:r>
        <w:rPr>
          <w:rFonts w:hint="eastAsia" w:asciiTheme="majorEastAsia" w:hAnsiTheme="majorEastAsia" w:eastAsiaTheme="majorEastAsia"/>
          <w:sz w:val="24"/>
        </w:rPr>
        <w:t>专项技术——投篮</w:t>
      </w:r>
    </w:p>
    <w:p>
      <w:pPr>
        <w:spacing w:before="13" w:line="592" w:lineRule="exact"/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（1）考试方法：如图3</w:t>
      </w:r>
      <w:r>
        <w:rPr>
          <w:rFonts w:asciiTheme="majorEastAsia" w:hAnsiTheme="majorEastAsia" w:eastAsiaTheme="majorEastAsia"/>
          <w:sz w:val="24"/>
        </w:rPr>
        <w:t>4-1</w:t>
      </w:r>
      <w:r>
        <w:rPr>
          <w:rFonts w:hint="eastAsia" w:asciiTheme="majorEastAsia" w:hAnsiTheme="majorEastAsia" w:eastAsiaTheme="majorEastAsia"/>
          <w:sz w:val="24"/>
        </w:rPr>
        <w:t>所示，在以篮圈中心投影点为圆心，5</w:t>
      </w:r>
      <w:r>
        <w:rPr>
          <w:rFonts w:asciiTheme="majorEastAsia" w:hAnsiTheme="majorEastAsia" w:eastAsiaTheme="majorEastAsia"/>
          <w:sz w:val="24"/>
        </w:rPr>
        <w:t>.5</w:t>
      </w:r>
      <w:r>
        <w:rPr>
          <w:rFonts w:hint="eastAsia" w:asciiTheme="majorEastAsia" w:hAnsiTheme="majorEastAsia" w:eastAsiaTheme="majorEastAsia"/>
          <w:sz w:val="24"/>
        </w:rPr>
        <w:t>米为半径所划的弧线上设置五个投篮点（球场两侧0度角处、两侧4</w:t>
      </w:r>
      <w:r>
        <w:rPr>
          <w:rFonts w:asciiTheme="majorEastAsia" w:hAnsiTheme="majorEastAsia" w:eastAsiaTheme="majorEastAsia"/>
          <w:sz w:val="24"/>
        </w:rPr>
        <w:t>5</w:t>
      </w:r>
      <w:r>
        <w:rPr>
          <w:rFonts w:hint="eastAsia" w:asciiTheme="majorEastAsia" w:hAnsiTheme="majorEastAsia" w:eastAsiaTheme="majorEastAsia"/>
          <w:sz w:val="24"/>
        </w:rPr>
        <w:t>度处和正面弧顶），每个点位放置5个球，共2</w:t>
      </w:r>
      <w:r>
        <w:rPr>
          <w:rFonts w:asciiTheme="majorEastAsia" w:hAnsiTheme="majorEastAsia" w:eastAsiaTheme="majorEastAsia"/>
          <w:sz w:val="24"/>
        </w:rPr>
        <w:t>5</w:t>
      </w:r>
      <w:r>
        <w:rPr>
          <w:rFonts w:hint="eastAsia" w:asciiTheme="majorEastAsia" w:hAnsiTheme="majorEastAsia" w:eastAsiaTheme="majorEastAsia"/>
          <w:sz w:val="24"/>
        </w:rPr>
        <w:t>个球。考生须从第</w:t>
      </w:r>
      <w:r>
        <w:rPr>
          <w:rFonts w:asciiTheme="majorEastAsia" w:hAnsiTheme="majorEastAsia" w:eastAsiaTheme="majorEastAsia"/>
          <w:sz w:val="24"/>
        </w:rPr>
        <w:fldChar w:fldCharType="begin"/>
      </w:r>
      <w:r>
        <w:rPr>
          <w:rFonts w:asciiTheme="majorEastAsia" w:hAnsiTheme="majorEastAsia" w:eastAsiaTheme="majorEastAsia"/>
          <w:sz w:val="24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</w:rPr>
        <w:instrText xml:space="preserve">)</w:instrText>
      </w:r>
      <w:r>
        <w:rPr>
          <w:rFonts w:asciiTheme="majorEastAsia" w:hAnsiTheme="majorEastAsia" w:eastAsiaTheme="majorEastAsia"/>
          <w:sz w:val="24"/>
        </w:rPr>
        <w:fldChar w:fldCharType="end"/>
      </w:r>
      <w:r>
        <w:rPr>
          <w:rFonts w:hint="eastAsia" w:asciiTheme="majorEastAsia" w:hAnsiTheme="majorEastAsia" w:eastAsiaTheme="majorEastAsia"/>
          <w:sz w:val="24"/>
        </w:rPr>
        <w:t>投篮点或第</w:t>
      </w:r>
      <w:r>
        <w:rPr>
          <w:rFonts w:asciiTheme="majorEastAsia" w:hAnsiTheme="majorEastAsia" w:eastAsiaTheme="majorEastAsia"/>
          <w:sz w:val="24"/>
        </w:rPr>
        <w:fldChar w:fldCharType="begin"/>
      </w:r>
      <w:r>
        <w:rPr>
          <w:rFonts w:asciiTheme="majorEastAsia" w:hAnsiTheme="majorEastAsia" w:eastAsiaTheme="majorEastAsia"/>
          <w:sz w:val="24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</w:rPr>
        <w:instrText xml:space="preserve">5</w:instrText>
      </w:r>
      <w:r>
        <w:rPr>
          <w:rFonts w:hint="eastAsia" w:asciiTheme="majorEastAsia" w:hAnsiTheme="majorEastAsia" w:eastAsiaTheme="majorEastAsia"/>
          <w:sz w:val="24"/>
        </w:rPr>
        <w:instrText xml:space="preserve">)</w:instrText>
      </w:r>
      <w:r>
        <w:rPr>
          <w:rFonts w:asciiTheme="majorEastAsia" w:hAnsiTheme="majorEastAsia" w:eastAsiaTheme="majorEastAsia"/>
          <w:sz w:val="24"/>
        </w:rPr>
        <w:fldChar w:fldCharType="end"/>
      </w:r>
      <w:r>
        <w:rPr>
          <w:rFonts w:hint="eastAsia" w:asciiTheme="majorEastAsia" w:hAnsiTheme="majorEastAsia" w:eastAsiaTheme="majorEastAsia"/>
          <w:sz w:val="24"/>
        </w:rPr>
        <w:t>投篮点开始投篮，按逆时针或顺时针方向依次投完每个点位的5个球。测试时间为1分钟。要求考生必须在弧线外投篮，球出手前双脚不得踩线，若踩线投中则计为无效投篮，不得分。每人测试2次，取最好成绩。</w:t>
      </w:r>
    </w:p>
    <w:p>
      <w:pPr>
        <w:spacing w:before="13" w:line="592" w:lineRule="exact"/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（2）评分标准：每投中1球，得1分，投中2</w:t>
      </w:r>
      <w:r>
        <w:rPr>
          <w:rFonts w:asciiTheme="majorEastAsia" w:hAnsiTheme="majorEastAsia" w:eastAsiaTheme="majorEastAsia"/>
          <w:sz w:val="24"/>
        </w:rPr>
        <w:t>0</w:t>
      </w:r>
      <w:r>
        <w:rPr>
          <w:rFonts w:hint="eastAsia" w:asciiTheme="majorEastAsia" w:hAnsiTheme="majorEastAsia" w:eastAsiaTheme="majorEastAsia"/>
          <w:sz w:val="24"/>
        </w:rPr>
        <w:t>球（含）以上为满分2</w:t>
      </w:r>
      <w:r>
        <w:rPr>
          <w:rFonts w:asciiTheme="majorEastAsia" w:hAnsiTheme="majorEastAsia" w:eastAsiaTheme="majorEastAsia"/>
          <w:sz w:val="24"/>
        </w:rPr>
        <w:t>0</w:t>
      </w:r>
      <w:r>
        <w:rPr>
          <w:rFonts w:hint="eastAsia" w:asciiTheme="majorEastAsia" w:hAnsiTheme="majorEastAsia" w:eastAsiaTheme="majorEastAsia"/>
          <w:sz w:val="24"/>
        </w:rPr>
        <w:t>分。</w:t>
      </w:r>
      <w:r>
        <w:rPr>
          <w:rFonts w:asciiTheme="majorEastAsia" w:hAnsiTheme="majorEastAsia" w:eastAsiaTheme="majorEastAsia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4638675" cy="3209925"/>
            <wp:effectExtent l="0" t="0" r="9525" b="9525"/>
            <wp:wrapTopAndBottom/>
            <wp:docPr id="5" name="图片 5" descr="C:\Users\dell\AppData\Local\Temp\1640930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164093074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3" w:line="592" w:lineRule="exact"/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asciiTheme="majorEastAsia" w:hAnsiTheme="majorEastAsia" w:eastAsiaTheme="majorEastAsia"/>
          <w:sz w:val="24"/>
        </w:rPr>
        <w:t xml:space="preserve"> </w:t>
      </w:r>
      <w:r>
        <w:rPr>
          <w:rFonts w:eastAsiaTheme="minorEastAsia"/>
        </w:rPr>
        <w:t xml:space="preserve"> </w:t>
      </w:r>
      <w:r>
        <w:rPr>
          <w:rFonts w:asciiTheme="majorEastAsia" w:hAnsiTheme="majorEastAsia" w:eastAsiaTheme="majorEastAsia"/>
          <w:sz w:val="24"/>
        </w:rPr>
        <w:t>3.</w:t>
      </w:r>
      <w:r>
        <w:rPr>
          <w:rFonts w:hint="eastAsia" w:asciiTheme="majorEastAsia" w:hAnsiTheme="majorEastAsia" w:eastAsiaTheme="majorEastAsia"/>
          <w:sz w:val="24"/>
        </w:rPr>
        <w:t>专项技术——多种变向运球上篮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  <w:szCs w:val="22"/>
        </w:rPr>
      </w:pPr>
      <w:r>
        <w:rPr>
          <w:rFonts w:hint="eastAsia" w:asciiTheme="majorEastAsia" w:hAnsiTheme="majorEastAsia" w:eastAsiaTheme="majorEastAsia"/>
          <w:sz w:val="24"/>
          <w:szCs w:val="22"/>
        </w:rPr>
        <w:t>（1）考试方法：如图3</w:t>
      </w:r>
      <w:r>
        <w:rPr>
          <w:rFonts w:asciiTheme="majorEastAsia" w:hAnsiTheme="majorEastAsia" w:eastAsiaTheme="majorEastAsia"/>
          <w:sz w:val="24"/>
          <w:szCs w:val="22"/>
        </w:rPr>
        <w:t>4-2</w:t>
      </w:r>
      <w:r>
        <w:rPr>
          <w:rFonts w:hint="eastAsia" w:asciiTheme="majorEastAsia" w:hAnsiTheme="majorEastAsia" w:eastAsiaTheme="majorEastAsia"/>
          <w:sz w:val="24"/>
          <w:szCs w:val="22"/>
        </w:rPr>
        <w:t>所示，考生在球场端线中点外出发区持球站立，当其身体任意部位穿过端线外沿得垂直面时开始计时。考生用右手运球至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处，在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处做右手背后运球，换左手向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2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处运球，至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2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处做左手后转身运球，换右手运球至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3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处，在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3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处做右手胯下运球后右手上篮。球中篮后方可用左手运球返回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3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处，在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3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处做左手背后运球，换右手向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2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处运球，在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2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处做右手后转身运球，换左手向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处运球，在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处做左手胯下运球后左手上篮。球中后做同样的动作再重复一次，最后一次上篮命中后，持球冲出端线，考生身体任意部位穿过端线外沿垂直面时停止计时，记录完成得时间。每人测试2次，取最好成绩。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  <w:szCs w:val="22"/>
        </w:rPr>
      </w:pPr>
      <w:r>
        <w:rPr>
          <w:rFonts w:hint="eastAsia" w:asciiTheme="majorEastAsia" w:hAnsiTheme="majorEastAsia" w:eastAsiaTheme="majorEastAsia"/>
          <w:sz w:val="24"/>
          <w:szCs w:val="22"/>
        </w:rPr>
        <w:t xml:space="preserve"> </w:t>
      </w:r>
      <w:r>
        <w:rPr>
          <w:rFonts w:asciiTheme="majorEastAsia" w:hAnsiTheme="majorEastAsia" w:eastAsiaTheme="majorEastAsia"/>
          <w:sz w:val="24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4"/>
          <w:szCs w:val="22"/>
        </w:rPr>
        <w:t>篮球场地上得标志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、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2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、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3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为以4</w:t>
      </w:r>
      <w:r>
        <w:rPr>
          <w:rFonts w:asciiTheme="majorEastAsia" w:hAnsiTheme="majorEastAsia" w:eastAsiaTheme="majorEastAsia"/>
          <w:sz w:val="24"/>
          <w:szCs w:val="22"/>
        </w:rPr>
        <w:t>0</w:t>
      </w:r>
      <w:r>
        <w:rPr>
          <w:rFonts w:hint="eastAsia" w:asciiTheme="majorEastAsia" w:hAnsiTheme="majorEastAsia" w:eastAsiaTheme="majorEastAsia"/>
          <w:sz w:val="24"/>
          <w:szCs w:val="22"/>
        </w:rPr>
        <w:t>厘米为半径得圆圈。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1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、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3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圆圈中心点为端线内沿的距离为6米，到边线内沿的距离为2米。</w:t>
      </w:r>
      <w:r>
        <w:rPr>
          <w:rFonts w:asciiTheme="majorEastAsia" w:hAnsiTheme="majorEastAsia" w:eastAsiaTheme="majorEastAsia"/>
          <w:sz w:val="24"/>
          <w:szCs w:val="22"/>
        </w:rPr>
        <w:fldChar w:fldCharType="begin"/>
      </w:r>
      <w:r>
        <w:rPr>
          <w:rFonts w:asciiTheme="majorEastAsia" w:hAnsiTheme="majorEastAsia" w:eastAsiaTheme="majorEastAsia"/>
          <w:sz w:val="24"/>
          <w:szCs w:val="22"/>
        </w:rPr>
        <w:instrText xml:space="preserve"> 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eq \o\ac(○,</w:instrText>
      </w:r>
      <w:r>
        <w:rPr>
          <w:rFonts w:hint="eastAsia" w:ascii="宋体" w:hAnsiTheme="majorEastAsia" w:eastAsiaTheme="majorEastAsia"/>
          <w:position w:val="3"/>
          <w:sz w:val="16"/>
          <w:szCs w:val="22"/>
        </w:rPr>
        <w:instrText xml:space="preserve">2</w:instrText>
      </w:r>
      <w:r>
        <w:rPr>
          <w:rFonts w:hint="eastAsia" w:asciiTheme="majorEastAsia" w:hAnsiTheme="majorEastAsia" w:eastAsiaTheme="majorEastAsia"/>
          <w:sz w:val="24"/>
          <w:szCs w:val="22"/>
        </w:rPr>
        <w:instrText xml:space="preserve">)</w:instrText>
      </w:r>
      <w:r>
        <w:rPr>
          <w:rFonts w:asciiTheme="majorEastAsia" w:hAnsiTheme="majorEastAsia" w:eastAsiaTheme="majorEastAsia"/>
          <w:sz w:val="24"/>
          <w:szCs w:val="22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2"/>
        </w:rPr>
        <w:t>在中线上，到中圈中心点的距离为2</w:t>
      </w:r>
      <w:r>
        <w:rPr>
          <w:rFonts w:asciiTheme="majorEastAsia" w:hAnsiTheme="majorEastAsia" w:eastAsiaTheme="majorEastAsia"/>
          <w:sz w:val="24"/>
          <w:szCs w:val="22"/>
        </w:rPr>
        <w:t>.8</w:t>
      </w:r>
      <w:r>
        <w:rPr>
          <w:rFonts w:hint="eastAsia" w:asciiTheme="majorEastAsia" w:hAnsiTheme="majorEastAsia" w:eastAsiaTheme="majorEastAsia"/>
          <w:sz w:val="24"/>
          <w:szCs w:val="22"/>
        </w:rPr>
        <w:t>米。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  <w:szCs w:val="22"/>
        </w:rPr>
      </w:pPr>
      <w:r>
        <w:rPr>
          <w:rFonts w:hint="eastAsia" w:asciiTheme="majorEastAsia" w:hAnsiTheme="majorEastAsia" w:eastAsiaTheme="majorEastAsia"/>
          <w:sz w:val="24"/>
          <w:szCs w:val="22"/>
        </w:rPr>
        <w:t>考生在考试时必须任意一脚踩到圆圈线或圆圈内地面，方可运球变向，否则视为无效，不予计分；运球上篮时必须投中，若球未投中仍继续带球前进，则视为无效，不予计分。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  <w:szCs w:val="22"/>
        </w:rPr>
      </w:pPr>
      <w:r>
        <w:rPr>
          <w:rFonts w:asciiTheme="majorEastAsia" w:hAnsiTheme="majorEastAsia" w:eastAsiaTheme="majorEastAsia"/>
          <w:sz w:val="24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1412875</wp:posOffset>
            </wp:positionV>
            <wp:extent cx="5568950" cy="3162300"/>
            <wp:effectExtent l="0" t="0" r="0" b="0"/>
            <wp:wrapThrough wrapText="bothSides">
              <wp:wrapPolygon>
                <wp:start x="0" y="0"/>
                <wp:lineTo x="0" y="21470"/>
                <wp:lineTo x="21501" y="21470"/>
                <wp:lineTo x="21501" y="0"/>
                <wp:lineTo x="0" y="0"/>
              </wp:wrapPolygon>
            </wp:wrapThrough>
            <wp:docPr id="6" name="图片 6" descr="C:\Users\dell\AppData\Local\Temp\1640930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Local\Temp\164093095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4"/>
          <w:szCs w:val="22"/>
        </w:rPr>
        <w:t>考生在运球行进的过程中不得违例，每次违例计时追加</w:t>
      </w:r>
      <w:r>
        <w:rPr>
          <w:rFonts w:asciiTheme="majorEastAsia" w:hAnsiTheme="majorEastAsia" w:eastAsiaTheme="majorEastAsia"/>
          <w:sz w:val="24"/>
          <w:szCs w:val="22"/>
        </w:rPr>
        <w:t>1</w:t>
      </w:r>
      <w:r>
        <w:rPr>
          <w:rFonts w:hint="eastAsia" w:asciiTheme="majorEastAsia" w:hAnsiTheme="majorEastAsia" w:eastAsiaTheme="majorEastAsia"/>
          <w:sz w:val="24"/>
          <w:szCs w:val="22"/>
        </w:rPr>
        <w:t>秒；必须使用规定的手上篮，错1次，计时追加1秒；胯下变向运球时，必须从体前由内侧向外侧变向运球换手，且双脚不能离开地面，错1次计时追加1秒。</w:t>
      </w:r>
    </w:p>
    <w:p>
      <w:pPr>
        <w:pStyle w:val="4"/>
        <w:spacing w:line="440" w:lineRule="exact"/>
        <w:ind w:left="0" w:right="698"/>
        <w:jc w:val="both"/>
        <w:rPr>
          <w:rFonts w:asciiTheme="majorEastAsia" w:hAnsiTheme="majorEastAsia" w:eastAsiaTheme="majorEastAsia"/>
          <w:sz w:val="24"/>
          <w:szCs w:val="22"/>
        </w:rPr>
      </w:pPr>
    </w:p>
    <w:p>
      <w:pPr>
        <w:pStyle w:val="4"/>
        <w:spacing w:line="440" w:lineRule="exact"/>
        <w:ind w:left="0" w:right="698"/>
        <w:jc w:val="both"/>
        <w:rPr>
          <w:rFonts w:asciiTheme="majorEastAsia" w:hAnsiTheme="majorEastAsia" w:eastAsiaTheme="majorEastAsia"/>
          <w:sz w:val="24"/>
          <w:szCs w:val="22"/>
        </w:rPr>
      </w:pPr>
      <w:bookmarkStart w:id="2" w:name="_GoBack"/>
      <w:bookmarkEnd w:id="2"/>
    </w:p>
    <w:p>
      <w:pPr>
        <w:pStyle w:val="4"/>
        <w:spacing w:line="440" w:lineRule="exact"/>
        <w:ind w:left="0" w:right="698"/>
        <w:jc w:val="both"/>
        <w:rPr>
          <w:rFonts w:asciiTheme="majorEastAsia" w:hAnsiTheme="majorEastAsia" w:eastAsiaTheme="majorEastAsia"/>
          <w:sz w:val="24"/>
          <w:szCs w:val="22"/>
        </w:rPr>
      </w:pP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  <w:szCs w:val="22"/>
        </w:rPr>
      </w:pPr>
      <w:r>
        <w:rPr>
          <w:rFonts w:hint="eastAsia" w:asciiTheme="majorEastAsia" w:hAnsiTheme="majorEastAsia" w:eastAsiaTheme="majorEastAsia"/>
          <w:sz w:val="24"/>
          <w:szCs w:val="22"/>
        </w:rPr>
        <w:t xml:space="preserve"> （2）评分标准</w:t>
      </w:r>
    </w:p>
    <w:p>
      <w:pPr>
        <w:pStyle w:val="4"/>
        <w:spacing w:line="440" w:lineRule="exact"/>
        <w:ind w:left="0" w:right="698" w:firstLine="720" w:firstLineChars="300"/>
        <w:jc w:val="both"/>
        <w:rPr>
          <w:rFonts w:asciiTheme="majorEastAsia" w:hAnsiTheme="majorEastAsia" w:eastAsiaTheme="majorEastAsia"/>
          <w:sz w:val="24"/>
        </w:rPr>
      </w:pPr>
    </w:p>
    <w:p>
      <w:pPr>
        <w:pStyle w:val="4"/>
        <w:spacing w:line="440" w:lineRule="exact"/>
        <w:ind w:left="0" w:right="698" w:firstLine="630" w:firstLineChars="300"/>
        <w:jc w:val="both"/>
        <w:rPr>
          <w:rFonts w:asciiTheme="majorEastAsia" w:hAnsiTheme="majorEastAsia" w:eastAsiaTheme="majorEastAsia"/>
          <w:sz w:val="24"/>
        </w:rPr>
      </w:pPr>
      <w:r>
        <w:rPr>
          <w:rFonts w:eastAsia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4867275</wp:posOffset>
            </wp:positionV>
            <wp:extent cx="5391150" cy="1219200"/>
            <wp:effectExtent l="0" t="0" r="0" b="0"/>
            <wp:wrapTopAndBottom/>
            <wp:docPr id="8" name="图片 8" descr="C:\Users\dell\AppData\Local\Temp\16409310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AppData\Local\Temp\164093109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" t="35025" r="35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-3175</wp:posOffset>
            </wp:positionV>
            <wp:extent cx="5568950" cy="4953000"/>
            <wp:effectExtent l="0" t="0" r="0" b="0"/>
            <wp:wrapThrough wrapText="bothSides">
              <wp:wrapPolygon>
                <wp:start x="0" y="0"/>
                <wp:lineTo x="0" y="21517"/>
                <wp:lineTo x="21501" y="21517"/>
                <wp:lineTo x="21501" y="0"/>
                <wp:lineTo x="0" y="0"/>
              </wp:wrapPolygon>
            </wp:wrapThrough>
            <wp:docPr id="7" name="图片 7" descr="C:\Users\dell\AppData\Local\Temp\16409309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AppData\Local\Temp\164093099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line="440" w:lineRule="exact"/>
        <w:ind w:left="0" w:right="698" w:firstLine="720" w:firstLineChars="300"/>
        <w:jc w:val="both"/>
        <w:rPr>
          <w:rFonts w:asciiTheme="majorEastAsia" w:hAnsiTheme="majorEastAsia" w:eastAsiaTheme="majorEastAsia"/>
          <w:sz w:val="24"/>
        </w:rPr>
      </w:pPr>
      <w:r>
        <w:rPr>
          <w:rFonts w:asciiTheme="majorEastAsia" w:hAnsiTheme="majorEastAsia" w:eastAsiaTheme="majorEastAsia"/>
          <w:sz w:val="24"/>
        </w:rPr>
        <w:t>4.</w:t>
      </w:r>
      <w:r>
        <w:rPr>
          <w:rFonts w:hint="eastAsia" w:asciiTheme="majorEastAsia" w:hAnsiTheme="majorEastAsia" w:eastAsiaTheme="majorEastAsia"/>
          <w:sz w:val="24"/>
        </w:rPr>
        <w:t>实战能力-比赛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（1）考试方法：按照篮球比赛规则，视考生人数分队进行比赛。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</w:t>
      </w:r>
      <w:r>
        <w:rPr>
          <w:rFonts w:asciiTheme="majorEastAsia" w:hAnsiTheme="majorEastAsia" w:eastAsiaTheme="majorEastAsia"/>
          <w:sz w:val="24"/>
        </w:rPr>
        <w:t>2</w:t>
      </w:r>
      <w:r>
        <w:rPr>
          <w:rFonts w:hint="eastAsia" w:asciiTheme="majorEastAsia" w:hAnsiTheme="majorEastAsia" w:eastAsiaTheme="majorEastAsia"/>
          <w:sz w:val="24"/>
        </w:rPr>
        <w:t>）评分标准：考评员参照实战能力评分细则，独立对考生动作的正确、协调、连贯程度，技、战术运用水平以及配合意识等方面进行综合评定。采用1</w:t>
      </w:r>
      <w:r>
        <w:rPr>
          <w:rFonts w:asciiTheme="majorEastAsia" w:hAnsiTheme="majorEastAsia" w:eastAsiaTheme="majorEastAsia"/>
          <w:sz w:val="24"/>
        </w:rPr>
        <w:t>0</w:t>
      </w:r>
      <w:r>
        <w:rPr>
          <w:rFonts w:hint="eastAsia" w:asciiTheme="majorEastAsia" w:hAnsiTheme="majorEastAsia" w:eastAsiaTheme="majorEastAsia"/>
          <w:sz w:val="24"/>
        </w:rPr>
        <w:t>分制评分，分数至多可到小数点后1位。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 xml:space="preserve"> </w:t>
      </w:r>
      <w:r>
        <w:rPr>
          <w:rFonts w:asciiTheme="majorEastAsia" w:hAnsiTheme="majorEastAsia" w:eastAsiaTheme="majorEastAsia"/>
          <w:sz w:val="24"/>
        </w:rPr>
        <w:t xml:space="preserve">                       </w:t>
      </w: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</w:rPr>
      </w:pPr>
    </w:p>
    <w:p>
      <w:pPr>
        <w:pStyle w:val="4"/>
        <w:spacing w:line="440" w:lineRule="exact"/>
        <w:ind w:right="698" w:firstLine="422"/>
        <w:jc w:val="both"/>
        <w:rPr>
          <w:rFonts w:asciiTheme="majorEastAsia" w:hAnsiTheme="majorEastAsia" w:eastAsiaTheme="majorEastAsia"/>
          <w:sz w:val="24"/>
        </w:rPr>
      </w:pPr>
    </w:p>
    <w:p>
      <w:pPr>
        <w:pStyle w:val="4"/>
        <w:spacing w:line="440" w:lineRule="exact"/>
        <w:ind w:right="698" w:firstLine="422"/>
        <w:jc w:val="both"/>
        <w:rPr>
          <w:rFonts w:hint="eastAsia" w:asciiTheme="majorEastAsia" w:hAnsiTheme="majorEastAsia" w:eastAsiaTheme="majorEastAsia"/>
          <w:sz w:val="24"/>
        </w:rPr>
      </w:pPr>
    </w:p>
    <w:p>
      <w:pPr>
        <w:pStyle w:val="4"/>
        <w:spacing w:line="440" w:lineRule="exact"/>
        <w:ind w:right="698" w:firstLine="3360" w:firstLineChars="1400"/>
        <w:jc w:val="both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实战能力评分细则</w:t>
      </w:r>
    </w:p>
    <w:tbl>
      <w:tblPr>
        <w:tblStyle w:val="10"/>
        <w:tblW w:w="0" w:type="auto"/>
        <w:tblInd w:w="1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8"/>
        <w:gridCol w:w="6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8" w:type="dxa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</w:rPr>
            </w:pPr>
            <w:r>
              <w:rPr>
                <w:rFonts w:hint="eastAsia" w:cs="微软雅黑" w:asciiTheme="majorEastAsia" w:hAnsiTheme="majorEastAsia" w:eastAsiaTheme="majorEastAsia"/>
              </w:rPr>
              <w:t>等级（分值范围）</w:t>
            </w:r>
          </w:p>
        </w:tc>
        <w:tc>
          <w:tcPr>
            <w:tcW w:w="6468" w:type="dxa"/>
            <w:vAlign w:val="center"/>
          </w:tcPr>
          <w:p>
            <w:pPr>
              <w:pStyle w:val="4"/>
              <w:spacing w:line="440" w:lineRule="exact"/>
              <w:ind w:left="0" w:right="698"/>
              <w:jc w:val="center"/>
              <w:rPr>
                <w:rFonts w:cs="微软雅黑" w:asciiTheme="majorEastAsia" w:hAnsiTheme="majorEastAsia" w:eastAsiaTheme="majorEastAsia"/>
                <w:sz w:val="22"/>
                <w:szCs w:val="22"/>
              </w:rPr>
            </w:pPr>
            <w:r>
              <w:rPr>
                <w:rFonts w:hint="eastAsia" w:cs="微软雅黑" w:asciiTheme="majorEastAsia" w:hAnsiTheme="majorEastAsia" w:eastAsiaTheme="majorEastAsia"/>
                <w:sz w:val="22"/>
                <w:szCs w:val="22"/>
              </w:rPr>
              <w:t>评价标准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8" w:type="dxa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</w:rPr>
            </w:pPr>
            <w:r>
              <w:rPr>
                <w:rFonts w:hint="eastAsia" w:cs="微软雅黑" w:asciiTheme="majorEastAsia" w:hAnsiTheme="majorEastAsia" w:eastAsiaTheme="majorEastAsia"/>
              </w:rPr>
              <w:t>优（1</w:t>
            </w:r>
            <w:r>
              <w:rPr>
                <w:rFonts w:cs="微软雅黑" w:asciiTheme="majorEastAsia" w:hAnsiTheme="majorEastAsia" w:eastAsiaTheme="majorEastAsia"/>
              </w:rPr>
              <w:t>0</w:t>
            </w:r>
            <w:r>
              <w:rPr>
                <w:rFonts w:hint="eastAsia" w:cs="微软雅黑" w:asciiTheme="majorEastAsia" w:hAnsiTheme="majorEastAsia" w:eastAsiaTheme="majorEastAsia"/>
              </w:rPr>
              <w:t>~</w:t>
            </w:r>
            <w:r>
              <w:rPr>
                <w:rFonts w:cs="微软雅黑" w:asciiTheme="majorEastAsia" w:hAnsiTheme="majorEastAsia" w:eastAsiaTheme="majorEastAsia"/>
              </w:rPr>
              <w:t>8.6</w:t>
            </w:r>
            <w:r>
              <w:rPr>
                <w:rFonts w:hint="eastAsia" w:cs="微软雅黑" w:asciiTheme="majorEastAsia" w:hAnsiTheme="majorEastAsia" w:eastAsiaTheme="majorEastAsia"/>
              </w:rPr>
              <w:t>分）</w:t>
            </w:r>
          </w:p>
        </w:tc>
        <w:tc>
          <w:tcPr>
            <w:tcW w:w="6468" w:type="dxa"/>
          </w:tcPr>
          <w:p>
            <w:pPr>
              <w:pStyle w:val="4"/>
              <w:spacing w:line="440" w:lineRule="exact"/>
              <w:ind w:left="0" w:right="698" w:firstLine="440" w:firstLineChars="200"/>
              <w:jc w:val="both"/>
              <w:rPr>
                <w:rFonts w:cs="微软雅黑" w:asciiTheme="majorEastAsia" w:hAnsiTheme="majorEastAsia" w:eastAsiaTheme="majorEastAsia"/>
                <w:sz w:val="22"/>
                <w:szCs w:val="22"/>
              </w:rPr>
            </w:pPr>
            <w:r>
              <w:rPr>
                <w:rFonts w:hint="eastAsia" w:cs="微软雅黑" w:asciiTheme="majorEastAsia" w:hAnsiTheme="majorEastAsia" w:eastAsiaTheme="majorEastAsia"/>
                <w:sz w:val="22"/>
                <w:szCs w:val="22"/>
              </w:rPr>
              <w:t>动作正确，协调、连贯、实效；技术运用合理、运用效果好；战术配合意识强、实战效果较好。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8" w:type="dxa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</w:rPr>
            </w:pPr>
            <w:r>
              <w:rPr>
                <w:rFonts w:hint="eastAsia" w:cs="微软雅黑" w:asciiTheme="majorEastAsia" w:hAnsiTheme="majorEastAsia" w:eastAsiaTheme="majorEastAsia"/>
              </w:rPr>
              <w:t>良（8</w:t>
            </w:r>
            <w:r>
              <w:rPr>
                <w:rFonts w:cs="微软雅黑" w:asciiTheme="majorEastAsia" w:hAnsiTheme="majorEastAsia" w:eastAsiaTheme="majorEastAsia"/>
              </w:rPr>
              <w:t>.5</w:t>
            </w:r>
            <w:r>
              <w:rPr>
                <w:rFonts w:hint="eastAsia" w:cs="微软雅黑" w:asciiTheme="majorEastAsia" w:hAnsiTheme="majorEastAsia" w:eastAsiaTheme="majorEastAsia"/>
              </w:rPr>
              <w:t>~</w:t>
            </w:r>
            <w:r>
              <w:rPr>
                <w:rFonts w:cs="微软雅黑" w:asciiTheme="majorEastAsia" w:hAnsiTheme="majorEastAsia" w:eastAsiaTheme="majorEastAsia"/>
              </w:rPr>
              <w:t>7.6</w:t>
            </w:r>
            <w:r>
              <w:rPr>
                <w:rFonts w:hint="eastAsia" w:cs="微软雅黑" w:asciiTheme="majorEastAsia" w:hAnsiTheme="majorEastAsia" w:eastAsiaTheme="majorEastAsia"/>
              </w:rPr>
              <w:t>分）</w:t>
            </w:r>
          </w:p>
        </w:tc>
        <w:tc>
          <w:tcPr>
            <w:tcW w:w="6468" w:type="dxa"/>
          </w:tcPr>
          <w:p>
            <w:pPr>
              <w:pStyle w:val="4"/>
              <w:spacing w:line="440" w:lineRule="exact"/>
              <w:ind w:left="0" w:right="698" w:firstLine="440" w:firstLineChars="200"/>
              <w:jc w:val="both"/>
              <w:rPr>
                <w:rFonts w:cs="微软雅黑" w:asciiTheme="majorEastAsia" w:hAnsiTheme="majorEastAsia" w:eastAsiaTheme="majorEastAsia"/>
                <w:sz w:val="22"/>
                <w:szCs w:val="22"/>
              </w:rPr>
            </w:pPr>
            <w:r>
              <w:rPr>
                <w:rFonts w:hint="eastAsia" w:cs="微软雅黑" w:asciiTheme="majorEastAsia" w:hAnsiTheme="majorEastAsia" w:eastAsiaTheme="majorEastAsia"/>
                <w:sz w:val="22"/>
                <w:szCs w:val="22"/>
              </w:rPr>
              <w:t>动作正确，协调；技术运用较合理、运用效果较好；战术配合意识较强、实战效果较好。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8" w:type="dxa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</w:rPr>
            </w:pPr>
            <w:r>
              <w:rPr>
                <w:rFonts w:hint="eastAsia" w:cs="微软雅黑" w:asciiTheme="majorEastAsia" w:hAnsiTheme="majorEastAsia" w:eastAsiaTheme="majorEastAsia"/>
              </w:rPr>
              <w:t>中（7</w:t>
            </w:r>
            <w:r>
              <w:rPr>
                <w:rFonts w:cs="微软雅黑" w:asciiTheme="majorEastAsia" w:hAnsiTheme="majorEastAsia" w:eastAsiaTheme="majorEastAsia"/>
              </w:rPr>
              <w:t>.5</w:t>
            </w:r>
            <w:r>
              <w:rPr>
                <w:rFonts w:hint="eastAsia" w:cs="微软雅黑" w:asciiTheme="majorEastAsia" w:hAnsiTheme="majorEastAsia" w:eastAsiaTheme="majorEastAsia"/>
              </w:rPr>
              <w:t>~</w:t>
            </w:r>
            <w:r>
              <w:rPr>
                <w:rFonts w:cs="微软雅黑" w:asciiTheme="majorEastAsia" w:hAnsiTheme="majorEastAsia" w:eastAsiaTheme="majorEastAsia"/>
              </w:rPr>
              <w:t>6</w:t>
            </w:r>
            <w:r>
              <w:rPr>
                <w:rFonts w:hint="eastAsia" w:cs="微软雅黑" w:asciiTheme="majorEastAsia" w:hAnsiTheme="majorEastAsia" w:eastAsiaTheme="majorEastAsia"/>
              </w:rPr>
              <w:t>分）</w:t>
            </w:r>
          </w:p>
        </w:tc>
        <w:tc>
          <w:tcPr>
            <w:tcW w:w="6468" w:type="dxa"/>
          </w:tcPr>
          <w:p>
            <w:pPr>
              <w:pStyle w:val="4"/>
              <w:spacing w:line="440" w:lineRule="exact"/>
              <w:ind w:left="0" w:right="698" w:firstLine="440" w:firstLineChars="200"/>
              <w:jc w:val="both"/>
              <w:rPr>
                <w:rFonts w:cs="微软雅黑" w:asciiTheme="majorEastAsia" w:hAnsiTheme="majorEastAsia" w:eastAsiaTheme="majorEastAsia"/>
                <w:sz w:val="22"/>
                <w:szCs w:val="22"/>
              </w:rPr>
            </w:pPr>
            <w:r>
              <w:rPr>
                <w:rFonts w:hint="eastAsia" w:cs="微软雅黑" w:asciiTheme="majorEastAsia" w:hAnsiTheme="majorEastAsia" w:eastAsiaTheme="majorEastAsia"/>
                <w:sz w:val="22"/>
                <w:szCs w:val="22"/>
              </w:rPr>
              <w:t>动作正确，协调；技术运用基本合理、运用效果一般；战术配合意识一般、效果一般。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8" w:type="dxa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</w:rPr>
            </w:pPr>
            <w:r>
              <w:rPr>
                <w:rFonts w:hint="eastAsia" w:cs="微软雅黑" w:asciiTheme="majorEastAsia" w:hAnsiTheme="majorEastAsia" w:eastAsiaTheme="majorEastAsia"/>
              </w:rPr>
              <w:t>差（</w:t>
            </w:r>
            <w:r>
              <w:rPr>
                <w:rFonts w:cs="微软雅黑" w:asciiTheme="majorEastAsia" w:hAnsiTheme="majorEastAsia" w:eastAsiaTheme="majorEastAsia"/>
              </w:rPr>
              <w:t>6</w:t>
            </w:r>
            <w:r>
              <w:rPr>
                <w:rFonts w:hint="eastAsia" w:cs="微软雅黑" w:asciiTheme="majorEastAsia" w:hAnsiTheme="majorEastAsia" w:eastAsiaTheme="majorEastAsia"/>
              </w:rPr>
              <w:t>分以下）</w:t>
            </w:r>
          </w:p>
        </w:tc>
        <w:tc>
          <w:tcPr>
            <w:tcW w:w="6468" w:type="dxa"/>
          </w:tcPr>
          <w:p>
            <w:pPr>
              <w:pStyle w:val="4"/>
              <w:spacing w:line="440" w:lineRule="exact"/>
              <w:ind w:left="0" w:right="698" w:firstLine="440" w:firstLineChars="200"/>
              <w:jc w:val="both"/>
              <w:rPr>
                <w:rFonts w:cs="微软雅黑" w:asciiTheme="majorEastAsia" w:hAnsiTheme="majorEastAsia" w:eastAsiaTheme="majorEastAsia"/>
                <w:sz w:val="22"/>
                <w:szCs w:val="22"/>
              </w:rPr>
            </w:pPr>
            <w:r>
              <w:rPr>
                <w:rFonts w:hint="eastAsia" w:cs="微软雅黑" w:asciiTheme="majorEastAsia" w:hAnsiTheme="majorEastAsia" w:eastAsiaTheme="majorEastAsia"/>
                <w:sz w:val="22"/>
                <w:szCs w:val="22"/>
              </w:rPr>
              <w:t>动作不正确，不协调；技术运用不合理、运用效果差；战术配合意识差、效果较差。</w:t>
            </w:r>
          </w:p>
        </w:tc>
      </w:tr>
      <w:bookmarkEnd w:id="1"/>
    </w:tbl>
    <w:p>
      <w:pPr>
        <w:pStyle w:val="4"/>
        <w:spacing w:line="440" w:lineRule="exact"/>
        <w:ind w:right="698" w:firstLine="422"/>
        <w:jc w:val="both"/>
        <w:rPr>
          <w:rFonts w:hint="eastAsia" w:eastAsiaTheme="minorEastAsia"/>
          <w:sz w:val="28"/>
          <w:szCs w:val="22"/>
        </w:rPr>
      </w:pPr>
    </w:p>
    <w:sectPr>
      <w:pgSz w:w="11910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oto Sans Mono CJK JP Regular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22DE63"/>
    <w:multiLevelType w:val="singleLevel"/>
    <w:tmpl w:val="1222DE6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5C0"/>
    <w:rsid w:val="0001794A"/>
    <w:rsid w:val="00022E3A"/>
    <w:rsid w:val="00025675"/>
    <w:rsid w:val="00031B26"/>
    <w:rsid w:val="00130AF5"/>
    <w:rsid w:val="00144B9B"/>
    <w:rsid w:val="001644F6"/>
    <w:rsid w:val="0023524D"/>
    <w:rsid w:val="002358A2"/>
    <w:rsid w:val="0028582F"/>
    <w:rsid w:val="0030502A"/>
    <w:rsid w:val="003B0E4A"/>
    <w:rsid w:val="003C1577"/>
    <w:rsid w:val="00445783"/>
    <w:rsid w:val="00504FA0"/>
    <w:rsid w:val="005205B2"/>
    <w:rsid w:val="005E0233"/>
    <w:rsid w:val="006731C8"/>
    <w:rsid w:val="006B35C0"/>
    <w:rsid w:val="00726651"/>
    <w:rsid w:val="00763128"/>
    <w:rsid w:val="00766DF3"/>
    <w:rsid w:val="007B5B6E"/>
    <w:rsid w:val="007E12A0"/>
    <w:rsid w:val="008028D9"/>
    <w:rsid w:val="008B32DE"/>
    <w:rsid w:val="008F04E6"/>
    <w:rsid w:val="008F0C18"/>
    <w:rsid w:val="00940F35"/>
    <w:rsid w:val="0096430A"/>
    <w:rsid w:val="00995BEC"/>
    <w:rsid w:val="009F1321"/>
    <w:rsid w:val="00AB4DB0"/>
    <w:rsid w:val="00B35C94"/>
    <w:rsid w:val="00C7460B"/>
    <w:rsid w:val="00C936C3"/>
    <w:rsid w:val="00CF2D1A"/>
    <w:rsid w:val="00CF641B"/>
    <w:rsid w:val="00D70BD9"/>
    <w:rsid w:val="00D81633"/>
    <w:rsid w:val="00D85490"/>
    <w:rsid w:val="00D972C6"/>
    <w:rsid w:val="00D97549"/>
    <w:rsid w:val="00DA3002"/>
    <w:rsid w:val="00E91633"/>
    <w:rsid w:val="00FC2A59"/>
    <w:rsid w:val="00FC5E07"/>
    <w:rsid w:val="00FC7097"/>
    <w:rsid w:val="00FE4C12"/>
    <w:rsid w:val="0B9D4475"/>
    <w:rsid w:val="5E567347"/>
    <w:rsid w:val="68107898"/>
    <w:rsid w:val="73A9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Noto Sans Mono CJK JP Regular" w:hAnsi="Noto Sans Mono CJK JP Regular" w:eastAsia="Noto Sans Mono CJK JP Regular" w:cs="Noto Sans Mono CJK JP Regular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534" w:lineRule="exact"/>
      <w:ind w:left="417" w:right="633"/>
      <w:jc w:val="center"/>
      <w:outlineLvl w:val="0"/>
    </w:pPr>
    <w:rPr>
      <w:sz w:val="30"/>
      <w:szCs w:val="30"/>
    </w:rPr>
  </w:style>
  <w:style w:type="paragraph" w:styleId="3">
    <w:name w:val="heading 2"/>
    <w:basedOn w:val="1"/>
    <w:next w:val="1"/>
    <w:qFormat/>
    <w:uiPriority w:val="1"/>
    <w:pPr>
      <w:ind w:left="120"/>
      <w:outlineLvl w:val="1"/>
    </w:pPr>
    <w:rPr>
      <w:sz w:val="24"/>
      <w:szCs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sz w:val="21"/>
      <w:szCs w:val="21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qFormat/>
    <w:uiPriority w:val="1"/>
    <w:pPr>
      <w:spacing w:line="554" w:lineRule="exact"/>
      <w:ind w:left="417" w:right="633"/>
      <w:jc w:val="center"/>
    </w:pPr>
    <w:rPr>
      <w:sz w:val="32"/>
      <w:szCs w:val="32"/>
    </w:rPr>
  </w:style>
  <w:style w:type="table" w:styleId="10">
    <w:name w:val="Table Grid"/>
    <w:basedOn w:val="9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ind w:left="363" w:hanging="319"/>
    </w:pPr>
  </w:style>
  <w:style w:type="paragraph" w:customStyle="1" w:styleId="14">
    <w:name w:val="Table Paragraph"/>
    <w:basedOn w:val="1"/>
    <w:qFormat/>
    <w:uiPriority w:val="1"/>
    <w:pPr>
      <w:ind w:left="999"/>
      <w:jc w:val="center"/>
    </w:pPr>
  </w:style>
  <w:style w:type="character" w:customStyle="1" w:styleId="15">
    <w:name w:val="页眉 字符"/>
    <w:basedOn w:val="11"/>
    <w:link w:val="7"/>
    <w:qFormat/>
    <w:uiPriority w:val="99"/>
    <w:rPr>
      <w:rFonts w:ascii="Noto Sans Mono CJK JP Regular" w:hAnsi="Noto Sans Mono CJK JP Regular" w:eastAsia="Noto Sans Mono CJK JP Regular" w:cs="Noto Sans Mono CJK JP Regular"/>
      <w:sz w:val="18"/>
      <w:szCs w:val="18"/>
      <w:lang w:eastAsia="zh-CN"/>
    </w:rPr>
  </w:style>
  <w:style w:type="character" w:customStyle="1" w:styleId="16">
    <w:name w:val="页脚 字符"/>
    <w:basedOn w:val="11"/>
    <w:link w:val="6"/>
    <w:qFormat/>
    <w:uiPriority w:val="99"/>
    <w:rPr>
      <w:rFonts w:ascii="Noto Sans Mono CJK JP Regular" w:hAnsi="Noto Sans Mono CJK JP Regular" w:eastAsia="Noto Sans Mono CJK JP Regular" w:cs="Noto Sans Mono CJK JP Regular"/>
      <w:sz w:val="18"/>
      <w:szCs w:val="18"/>
      <w:lang w:eastAsia="zh-CN"/>
    </w:rPr>
  </w:style>
  <w:style w:type="character" w:customStyle="1" w:styleId="17">
    <w:name w:val="批注框文本 字符"/>
    <w:basedOn w:val="11"/>
    <w:link w:val="5"/>
    <w:semiHidden/>
    <w:qFormat/>
    <w:uiPriority w:val="99"/>
    <w:rPr>
      <w:rFonts w:ascii="Noto Sans Mono CJK JP Regular" w:hAnsi="Noto Sans Mono CJK JP Regular" w:eastAsia="Noto Sans Mono CJK JP Regular" w:cs="Noto Sans Mono CJK JP Regular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375</Words>
  <Characters>2138</Characters>
  <Lines>17</Lines>
  <Paragraphs>5</Paragraphs>
  <TotalTime>176</TotalTime>
  <ScaleCrop>false</ScaleCrop>
  <LinksUpToDate>false</LinksUpToDate>
  <CharactersWithSpaces>2508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2021-02-27T05:28:00Z</dcterms:created>
  <dc:creator>hbb</dc:creator>
  <cp:lastModifiedBy>TDZS-007</cp:lastModifiedBy>
  <cp:lastPrinted>2021-12-31T07:21:00Z</cp:lastPrinted>
  <dcterms:modified xsi:type="dcterms:W3CDTF">2022-01-03T10:39:52Z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2020-01-03T00:00:00Z</vt:filetime>
  </property>
  <property fmtid="{D5CDD505-2E9C-101B-9397-08002B2CF9AE}" pid="5" name="KSOProductBuildVer">
    <vt:lpwstr>2052-11.1.0.11194</vt:lpwstr>
  </property>
  <property fmtid="{D5CDD505-2E9C-101B-9397-08002B2CF9AE}" pid="6" name="ICV">
    <vt:lpwstr>D83CC472081B42B2819D6B9CC52821EC</vt:lpwstr>
  </property>
</Properties>
</file>