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西南政法大学20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年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田径高水平运动员专项测试标准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田径专项考试规则按照国际田联最新田径竞赛规则执行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全能考试考核四项(半天内完成），考核项目男子110米栏、跳高、铁饼或标枪（二选一）、1500米，女子全能项目为100米栏、跳高、标枪和800米。各项得分查中国田径协会审定的（田径项目分值表，按4项累计得分为最后得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三、器材规格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  <w:t>男子项目：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铅球（7.26公斤），铁饼（2公斤）、标枪（800克）、110米栏（1.067米）、400米栏（0.914米）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  <w:t>女子项目：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铅球（4公斤），铁饼（1公斤）、标枪（600克）、100米栏（0.84米）、400米栏（0.76米）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F602"/>
    <w:multiLevelType w:val="singleLevel"/>
    <w:tmpl w:val="6721F60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33CD"/>
    <w:rsid w:val="01171C0F"/>
    <w:rsid w:val="16B17D4F"/>
    <w:rsid w:val="77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asus</dc:creator>
  <cp:lastModifiedBy>殺楚</cp:lastModifiedBy>
  <dcterms:modified xsi:type="dcterms:W3CDTF">2020-12-28T07:56:07Z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