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jc w:val="center"/>
        <w:rPr>
          <w:rFonts w:ascii="小标宋" w:hAnsi="华文中宋" w:eastAsia="小标宋"/>
          <w:sz w:val="32"/>
          <w:szCs w:val="32"/>
        </w:rPr>
      </w:pPr>
      <w:r>
        <w:rPr>
          <w:rFonts w:hint="eastAsia" w:ascii="小标宋" w:hAnsi="华文中宋" w:eastAsia="小标宋"/>
          <w:sz w:val="32"/>
          <w:szCs w:val="32"/>
        </w:rPr>
        <w:t>北京林业大学202</w:t>
      </w:r>
      <w:r>
        <w:rPr>
          <w:rFonts w:ascii="小标宋" w:hAnsi="华文中宋" w:eastAsia="小标宋"/>
          <w:sz w:val="32"/>
          <w:szCs w:val="32"/>
        </w:rPr>
        <w:t>3</w:t>
      </w:r>
      <w:r>
        <w:rPr>
          <w:rFonts w:hint="eastAsia" w:ascii="小标宋" w:hAnsi="华文中宋" w:eastAsia="小标宋"/>
          <w:sz w:val="32"/>
          <w:szCs w:val="32"/>
        </w:rPr>
        <w:t>年高校专项计划专业体检要求</w:t>
      </w:r>
    </w:p>
    <w:p>
      <w:pPr>
        <w:widowControl/>
        <w:spacing w:line="360" w:lineRule="exact"/>
        <w:ind w:firstLine="420" w:firstLineChars="200"/>
        <w:jc w:val="left"/>
        <w:rPr>
          <w:rFonts w:ascii="小标宋" w:hAnsi="华文中宋" w:eastAsia="小标宋"/>
          <w:sz w:val="32"/>
          <w:szCs w:val="32"/>
        </w:rPr>
      </w:pPr>
      <w:r>
        <w:rPr>
          <w:rFonts w:hint="eastAsia" w:ascii="仿宋_GB2312" w:eastAsia="仿宋_GB2312" w:cs="宋体" w:hAnsiTheme="minorEastAsia"/>
          <w:color w:val="000000" w:themeColor="text1"/>
          <w:kern w:val="0"/>
          <w:szCs w:val="21"/>
          <w14:textFill>
            <w14:solidFill>
              <w14:schemeClr w14:val="tx1"/>
            </w14:solidFill>
          </w14:textFill>
        </w:rPr>
        <w:t>体检标准按教育部、卫生部、中国残疾人联合会印发的《普通高等学校招生体检工作指导意见》和教育部办公厅、卫生部办公厅《关于普通高等学校招生学生入学身体检查取消乙肝项目检测有关问题的通知》（教学厅〔2010〕2号）及我校制订的补充规定执行。表格中加粗变绿的条款是一些专业对考生身体健康状况的补充意见。</w:t>
      </w:r>
    </w:p>
    <w:tbl>
      <w:tblPr>
        <w:tblStyle w:val="3"/>
        <w:tblW w:w="49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3"/>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450" w:type="pct"/>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招生专业</w:t>
            </w:r>
          </w:p>
        </w:tc>
        <w:tc>
          <w:tcPr>
            <w:tcW w:w="3550" w:type="pct"/>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体检受限项目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50" w:type="pct"/>
            <w:vAlign w:val="center"/>
          </w:tcPr>
          <w:p>
            <w:pPr>
              <w:widowControl/>
              <w:jc w:val="center"/>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eastAsia="仿宋_GB2312" w:cs="宋体" w:hAnsiTheme="minorEastAsia"/>
                <w:color w:val="000000" w:themeColor="text1"/>
                <w:kern w:val="0"/>
                <w:szCs w:val="21"/>
                <w14:textFill>
                  <w14:solidFill>
                    <w14:schemeClr w14:val="tx1"/>
                  </w14:solidFill>
                </w14:textFill>
              </w:rPr>
              <w:t>林学类</w:t>
            </w:r>
          </w:p>
        </w:tc>
        <w:tc>
          <w:tcPr>
            <w:tcW w:w="3550" w:type="pct"/>
            <w:vAlign w:val="center"/>
          </w:tcPr>
          <w:p>
            <w:pPr>
              <w:widowControl/>
              <w:spacing w:line="360" w:lineRule="exact"/>
              <w:jc w:val="left"/>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eastAsia="仿宋_GB2312" w:cs="宋体" w:hAnsiTheme="minorEastAsia"/>
                <w:color w:val="000000" w:themeColor="text1"/>
                <w:kern w:val="0"/>
                <w:szCs w:val="21"/>
                <w14:textFill>
                  <w14:solidFill>
                    <w14:schemeClr w14:val="tx1"/>
                  </w14:solidFill>
                </w14:textFill>
              </w:rPr>
              <w:t>（二）1、轻度色觉异常（俗称色弱）</w:t>
            </w:r>
          </w:p>
          <w:p>
            <w:pPr>
              <w:widowControl/>
              <w:spacing w:line="360" w:lineRule="exact"/>
              <w:jc w:val="left"/>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eastAsia="仿宋_GB2312" w:cs="宋体" w:hAnsiTheme="minorEastAsia"/>
                <w:color w:val="000000" w:themeColor="text1"/>
                <w:kern w:val="0"/>
                <w:szCs w:val="21"/>
                <w14:textFill>
                  <w14:solidFill>
                    <w14:schemeClr w14:val="tx1"/>
                  </w14:solidFill>
                </w14:textFill>
              </w:rPr>
              <w:t>（二）2、色觉异常Ⅱ度（俗称色盲）</w:t>
            </w:r>
          </w:p>
          <w:p>
            <w:pPr>
              <w:widowControl/>
              <w:spacing w:line="360" w:lineRule="exact"/>
              <w:jc w:val="left"/>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eastAsia="仿宋_GB2312" w:cs="宋体" w:hAnsiTheme="minorEastAsia"/>
                <w:color w:val="000000" w:themeColor="text1"/>
                <w:kern w:val="0"/>
                <w:szCs w:val="21"/>
                <w14:textFill>
                  <w14:solidFill>
                    <w14:schemeClr w14:val="tx1"/>
                  </w14:solidFill>
                </w14:textFill>
              </w:rPr>
              <w:t>（二）3、不能准确识别红、黄、绿、蓝、紫，各种颜色中任何一种颜色的导线、按键、信号灯、几何图形者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50" w:type="pct"/>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食品科学与工程</w:t>
            </w:r>
          </w:p>
        </w:tc>
        <w:tc>
          <w:tcPr>
            <w:tcW w:w="3550" w:type="pct"/>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（二）1、轻度色觉异常（俗称色弱）</w:t>
            </w:r>
          </w:p>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（二）2、色觉异常Ⅱ度（俗称色盲）</w:t>
            </w:r>
          </w:p>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（二）3、不能准确识别红、黄、绿、蓝、紫，各种颜色中任何一种颜色的导线、按键、信号灯、几何图形者</w:t>
            </w:r>
          </w:p>
          <w:p>
            <w:pPr>
              <w:widowControl/>
              <w:jc w:val="left"/>
              <w:rPr>
                <w:rFonts w:ascii="仿宋_GB2312" w:hAnsi="宋体" w:eastAsia="仿宋_GB2312" w:cs="宋体"/>
                <w:b/>
                <w:bCs/>
                <w:color w:val="000000"/>
                <w:kern w:val="0"/>
                <w:szCs w:val="21"/>
              </w:rPr>
            </w:pPr>
            <w:r>
              <w:rPr>
                <w:rFonts w:hint="eastAsia" w:ascii="仿宋_GB2312" w:hAnsi="宋体" w:eastAsia="仿宋_GB2312" w:cs="宋体"/>
                <w:b/>
                <w:bCs/>
                <w:color w:val="00B050"/>
                <w:kern w:val="0"/>
                <w:szCs w:val="21"/>
              </w:rPr>
              <w:t>嗅觉迟钝或丧失者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450" w:type="pct"/>
            <w:vAlign w:val="center"/>
          </w:tcPr>
          <w:p>
            <w:pPr>
              <w:widowControl/>
              <w:jc w:val="center"/>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eastAsia="仿宋_GB2312" w:cs="宋体" w:hAnsiTheme="minorEastAsia"/>
                <w:color w:val="000000" w:themeColor="text1"/>
                <w:kern w:val="0"/>
                <w:szCs w:val="21"/>
                <w14:textFill>
                  <w14:solidFill>
                    <w14:schemeClr w14:val="tx1"/>
                  </w14:solidFill>
                </w14:textFill>
              </w:rPr>
              <w:t>水土保持与荒漠化防治</w:t>
            </w:r>
          </w:p>
        </w:tc>
        <w:tc>
          <w:tcPr>
            <w:tcW w:w="3550" w:type="pct"/>
            <w:vAlign w:val="center"/>
          </w:tcPr>
          <w:p>
            <w:pPr>
              <w:widowControl/>
              <w:spacing w:line="360" w:lineRule="exact"/>
              <w:jc w:val="left"/>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eastAsia="仿宋_GB2312" w:cs="宋体" w:hAnsiTheme="minorEastAsia"/>
                <w:color w:val="000000" w:themeColor="text1"/>
                <w:kern w:val="0"/>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450" w:type="pct"/>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土木工程</w:t>
            </w:r>
          </w:p>
        </w:tc>
        <w:tc>
          <w:tcPr>
            <w:tcW w:w="3550" w:type="pct"/>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450" w:type="pct"/>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自然地理与资源环境</w:t>
            </w:r>
          </w:p>
        </w:tc>
        <w:tc>
          <w:tcPr>
            <w:tcW w:w="3550" w:type="pct"/>
            <w:vAlign w:val="center"/>
          </w:tcPr>
          <w:p>
            <w:pPr>
              <w:widowControl/>
              <w:jc w:val="left"/>
              <w:rPr>
                <w:rFonts w:ascii="仿宋_GB2312" w:hAnsi="宋体" w:eastAsia="仿宋_GB2312" w:cs="宋体"/>
                <w:b/>
                <w:bCs/>
                <w:color w:val="00B050"/>
                <w:kern w:val="0"/>
                <w:szCs w:val="21"/>
              </w:rPr>
            </w:pPr>
            <w:r>
              <w:rPr>
                <w:rFonts w:hint="eastAsia" w:ascii="仿宋_GB2312" w:hAnsi="宋体" w:eastAsia="仿宋_GB2312" w:cs="宋体"/>
                <w:b/>
                <w:bCs/>
                <w:color w:val="00B050"/>
                <w:kern w:val="0"/>
                <w:szCs w:val="21"/>
              </w:rPr>
              <w:t>（二）2、色觉异常Ⅱ度（俗称色盲）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450" w:type="pct"/>
            <w:vAlign w:val="center"/>
          </w:tcPr>
          <w:p>
            <w:pPr>
              <w:widowControl/>
              <w:jc w:val="center"/>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eastAsia="仿宋_GB2312" w:cs="宋体" w:hAnsiTheme="minorEastAsia"/>
                <w:color w:val="000000" w:themeColor="text1"/>
                <w:kern w:val="0"/>
                <w:szCs w:val="21"/>
                <w14:textFill>
                  <w14:solidFill>
                    <w14:schemeClr w14:val="tx1"/>
                  </w14:solidFill>
                </w14:textFill>
              </w:rPr>
              <w:t>工商管理类</w:t>
            </w:r>
          </w:p>
        </w:tc>
        <w:tc>
          <w:tcPr>
            <w:tcW w:w="3550" w:type="pct"/>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（二）3、不能准确识别红、黄、绿、蓝、紫，各种颜色中任何一种颜色的导线、按键、信号灯、几何图形者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450" w:type="pct"/>
            <w:vAlign w:val="center"/>
          </w:tcPr>
          <w:p>
            <w:pPr>
              <w:widowControl/>
              <w:jc w:val="center"/>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eastAsia="仿宋_GB2312" w:cs="宋体" w:hAnsiTheme="minorEastAsia"/>
                <w:color w:val="000000" w:themeColor="text1"/>
                <w:kern w:val="0"/>
                <w:szCs w:val="21"/>
                <w14:textFill>
                  <w14:solidFill>
                    <w14:schemeClr w14:val="tx1"/>
                  </w14:solidFill>
                </w14:textFill>
              </w:rPr>
              <w:t>计算机类</w:t>
            </w:r>
          </w:p>
        </w:tc>
        <w:tc>
          <w:tcPr>
            <w:tcW w:w="3550" w:type="pct"/>
            <w:vAlign w:val="center"/>
          </w:tcPr>
          <w:p>
            <w:pPr>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（二）3、不能准确在显示器上识别红、黄、绿、蓝、紫，各种颜色中任何一种颜色的数码、字母者</w:t>
            </w:r>
          </w:p>
          <w:p>
            <w:pPr>
              <w:jc w:val="left"/>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hAnsi="宋体" w:eastAsia="仿宋_GB2312" w:cs="宋体"/>
                <w:color w:val="000000"/>
                <w:kern w:val="0"/>
                <w:szCs w:val="21"/>
              </w:rPr>
              <w:t>（二）3、不能准确识别红、黄、绿、蓝、紫，各种颜色中任何一种颜色的导线、按键、信号灯、几何图形者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450" w:type="pct"/>
            <w:vAlign w:val="center"/>
          </w:tcPr>
          <w:p>
            <w:pPr>
              <w:widowControl/>
              <w:jc w:val="center"/>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eastAsia="仿宋_GB2312" w:cs="宋体" w:hAnsiTheme="minorEastAsia"/>
                <w:color w:val="000000" w:themeColor="text1"/>
                <w:kern w:val="0"/>
                <w:szCs w:val="21"/>
                <w14:textFill>
                  <w14:solidFill>
                    <w14:schemeClr w14:val="tx1"/>
                  </w14:solidFill>
                </w14:textFill>
              </w:rPr>
              <w:t>林业工程类</w:t>
            </w:r>
          </w:p>
        </w:tc>
        <w:tc>
          <w:tcPr>
            <w:tcW w:w="3550" w:type="pct"/>
            <w:vAlign w:val="center"/>
          </w:tcPr>
          <w:p>
            <w:pPr>
              <w:widowControl/>
              <w:jc w:val="left"/>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eastAsia="仿宋_GB2312" w:cs="宋体" w:hAnsiTheme="minorEastAsia"/>
                <w:color w:val="000000" w:themeColor="text1"/>
                <w:kern w:val="0"/>
                <w:szCs w:val="21"/>
                <w14:textFill>
                  <w14:solidFill>
                    <w14:schemeClr w14:val="tx1"/>
                  </w14:solidFill>
                </w14:textFill>
              </w:rPr>
              <w:t>（二）1、轻度色觉异常（俗称色弱）</w:t>
            </w:r>
          </w:p>
          <w:p>
            <w:pPr>
              <w:widowControl/>
              <w:jc w:val="left"/>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eastAsia="仿宋_GB2312" w:cs="宋体" w:hAnsiTheme="minorEastAsia"/>
                <w:color w:val="000000" w:themeColor="text1"/>
                <w:kern w:val="0"/>
                <w:szCs w:val="21"/>
                <w14:textFill>
                  <w14:solidFill>
                    <w14:schemeClr w14:val="tx1"/>
                  </w14:solidFill>
                </w14:textFill>
              </w:rPr>
              <w:t>（二）2、色觉异常Ⅱ度（俗称色盲）</w:t>
            </w:r>
          </w:p>
          <w:p>
            <w:pPr>
              <w:widowControl/>
              <w:jc w:val="left"/>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eastAsia="仿宋_GB2312" w:cs="宋体" w:hAnsiTheme="minorEastAsia"/>
                <w:color w:val="000000" w:themeColor="text1"/>
                <w:kern w:val="0"/>
                <w:szCs w:val="21"/>
                <w14:textFill>
                  <w14:solidFill>
                    <w14:schemeClr w14:val="tx1"/>
                  </w14:solidFill>
                </w14:textFill>
              </w:rPr>
              <w:t>（二）3、不能准确识别红、黄、绿、蓝、紫，各种颜色中任何一种颜色的导线、按键、信号灯、几何图形者</w:t>
            </w:r>
          </w:p>
          <w:p>
            <w:pPr>
              <w:widowControl/>
              <w:jc w:val="left"/>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hAnsi="宋体" w:eastAsia="仿宋_GB2312" w:cs="宋体"/>
                <w:b/>
                <w:bCs/>
                <w:color w:val="00B050"/>
                <w:kern w:val="0"/>
                <w:szCs w:val="21"/>
              </w:rPr>
              <w:t>对化学药品过敏者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450" w:type="pct"/>
            <w:vAlign w:val="center"/>
          </w:tcPr>
          <w:p>
            <w:pPr>
              <w:widowControl/>
              <w:jc w:val="center"/>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eastAsia="仿宋_GB2312" w:cs="宋体" w:hAnsiTheme="minorEastAsia"/>
                <w:color w:val="000000" w:themeColor="text1"/>
                <w:kern w:val="0"/>
                <w:szCs w:val="21"/>
                <w14:textFill>
                  <w14:solidFill>
                    <w14:schemeClr w14:val="tx1"/>
                  </w14:solidFill>
                </w14:textFill>
              </w:rPr>
              <w:t>机械设计制造及其自动化</w:t>
            </w:r>
          </w:p>
        </w:tc>
        <w:tc>
          <w:tcPr>
            <w:tcW w:w="3550" w:type="pct"/>
            <w:vAlign w:val="center"/>
          </w:tcPr>
          <w:p>
            <w:pPr>
              <w:widowControl/>
              <w:jc w:val="left"/>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eastAsia="仿宋_GB2312" w:cs="宋体" w:hAnsiTheme="minorEastAsia"/>
                <w:color w:val="000000" w:themeColor="text1"/>
                <w:kern w:val="0"/>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450" w:type="pct"/>
            <w:vAlign w:val="center"/>
          </w:tcPr>
          <w:p>
            <w:pPr>
              <w:widowControl/>
              <w:jc w:val="center"/>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eastAsia="仿宋_GB2312" w:cs="宋体" w:hAnsiTheme="minorEastAsia"/>
                <w:color w:val="000000" w:themeColor="text1"/>
                <w:kern w:val="0"/>
                <w:szCs w:val="21"/>
                <w14:textFill>
                  <w14:solidFill>
                    <w14:schemeClr w14:val="tx1"/>
                  </w14:solidFill>
                </w14:textFill>
              </w:rPr>
              <w:t>车辆工程</w:t>
            </w:r>
          </w:p>
        </w:tc>
        <w:tc>
          <w:tcPr>
            <w:tcW w:w="3550" w:type="pct"/>
            <w:vAlign w:val="center"/>
          </w:tcPr>
          <w:p>
            <w:pPr>
              <w:widowControl/>
              <w:jc w:val="left"/>
              <w:rPr>
                <w:rFonts w:ascii="仿宋_GB2312" w:hAnsi="宋体" w:eastAsia="仿宋_GB2312" w:cs="宋体"/>
                <w:b/>
                <w:bCs/>
                <w:color w:val="00B050"/>
                <w:kern w:val="0"/>
                <w:szCs w:val="21"/>
              </w:rPr>
            </w:pPr>
            <w:r>
              <w:rPr>
                <w:rFonts w:hint="eastAsia" w:ascii="仿宋_GB2312" w:hAnsi="宋体" w:eastAsia="仿宋_GB2312" w:cs="宋体"/>
                <w:b/>
                <w:bCs/>
                <w:color w:val="00B050"/>
                <w:kern w:val="0"/>
                <w:szCs w:val="21"/>
              </w:rPr>
              <w:t>（二）2、色觉异常Ⅱ度（俗称色盲）</w:t>
            </w:r>
          </w:p>
          <w:p>
            <w:pPr>
              <w:widowControl/>
              <w:jc w:val="left"/>
              <w:rPr>
                <w:rFonts w:ascii="仿宋_GB2312" w:eastAsia="仿宋_GB2312" w:cs="宋体" w:hAnsiTheme="minorEastAsia"/>
                <w:color w:val="000000" w:themeColor="text1"/>
                <w:kern w:val="0"/>
                <w:szCs w:val="21"/>
                <w14:textFill>
                  <w14:solidFill>
                    <w14:schemeClr w14:val="tx1"/>
                  </w14:solidFill>
                </w14:textFill>
              </w:rPr>
            </w:pPr>
            <w:r>
              <w:rPr>
                <w:rFonts w:hint="eastAsia" w:ascii="仿宋_GB2312" w:hAnsi="宋体" w:eastAsia="仿宋_GB2312" w:cs="宋体"/>
                <w:b/>
                <w:bCs/>
                <w:color w:val="00B050"/>
                <w:kern w:val="0"/>
                <w:szCs w:val="21"/>
              </w:rPr>
              <w:t>（二）3、不能准确识别红、黄、绿、蓝、紫，各种颜色中任何一种颜色的导线、按键、信号灯、几何图形者</w:t>
            </w:r>
          </w:p>
        </w:tc>
      </w:tr>
    </w:tbl>
    <w:p>
      <w:bookmarkStart w:id="0" w:name="_GoBack"/>
      <w:bookmarkEnd w:id="0"/>
    </w:p>
    <w:sectPr>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ZjNlNDgyYWYxYjdjMDI4MGIwODJkMzUyZThjZmQifQ=="/>
  </w:docVars>
  <w:rsids>
    <w:rsidRoot w:val="00000000"/>
    <w:rsid w:val="0A8E1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2023-04-05T05:12:43Z</dcterms:created>
  <dc:creator>35712</dc:creator>
  <cp:lastModifiedBy>35712</cp:lastModifiedBy>
  <dcterms:modified xsi:type="dcterms:W3CDTF">2023-04-05T05:13:12Z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1A51A913E49E4229A26017D3A1D35B4D_12</vt:lpwstr>
  </property>
</Properties>
</file>