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EB3260">
      <w:pPr>
        <w:jc w:val="left"/>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14:paraId="204C094A">
      <w:pPr>
        <w:jc w:val="center"/>
        <w:outlineLvl w:val="0"/>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西藏自治区普通高校</w:t>
      </w:r>
      <w:r>
        <w:rPr>
          <w:rFonts w:hint="eastAsia" w:ascii="方正小标宋简体" w:hAnsi="方正小标宋简体" w:eastAsia="方正小标宋简体" w:cs="方正小标宋简体"/>
          <w:sz w:val="36"/>
          <w:szCs w:val="36"/>
          <w:lang w:val="en-US" w:eastAsia="zh-CN"/>
        </w:rPr>
        <w:t>招生</w:t>
      </w:r>
      <w:r>
        <w:rPr>
          <w:rFonts w:hint="eastAsia" w:ascii="方正小标宋简体" w:hAnsi="方正小标宋简体" w:eastAsia="方正小标宋简体" w:cs="方正小标宋简体"/>
          <w:sz w:val="36"/>
          <w:szCs w:val="36"/>
        </w:rPr>
        <w:t>志愿填报</w:t>
      </w:r>
      <w:r>
        <w:rPr>
          <w:rFonts w:hint="eastAsia" w:ascii="方正小标宋简体" w:hAnsi="方正小标宋简体" w:eastAsia="方正小标宋简体" w:cs="方正小标宋简体"/>
          <w:sz w:val="36"/>
          <w:szCs w:val="36"/>
          <w:lang w:val="en-US" w:eastAsia="zh-CN"/>
        </w:rPr>
        <w:t>辅助</w:t>
      </w:r>
      <w:r>
        <w:rPr>
          <w:rFonts w:hint="eastAsia" w:ascii="方正小标宋简体" w:hAnsi="方正小标宋简体" w:eastAsia="方正小标宋简体" w:cs="方正小标宋简体"/>
          <w:sz w:val="36"/>
          <w:szCs w:val="36"/>
        </w:rPr>
        <w:t>系统</w:t>
      </w:r>
    </w:p>
    <w:p w14:paraId="0D29D0D4">
      <w:pPr>
        <w:jc w:val="center"/>
        <w:outlineLvl w:val="0"/>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操作手册</w:t>
      </w:r>
    </w:p>
    <w:p w14:paraId="5D0CCCA9">
      <w:pPr>
        <w:jc w:val="center"/>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lang w:val="en-US" w:eastAsia="zh-CN"/>
        </w:rPr>
        <w:t>(仅区内考生使用)</w:t>
      </w:r>
    </w:p>
    <w:p w14:paraId="3F6D1369">
      <w:pPr>
        <w:rPr>
          <w:rFonts w:hint="eastAsia"/>
          <w:lang w:val="en-US" w:eastAsia="zh-CN"/>
        </w:rPr>
      </w:pPr>
    </w:p>
    <w:p w14:paraId="09F192E9">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一、系统访问地址</w:t>
      </w:r>
    </w:p>
    <w:p w14:paraId="2145AE6E">
      <w:pPr>
        <w:widowControl w:val="0"/>
        <w:numPr>
          <w:ilvl w:val="0"/>
          <w:numId w:val="0"/>
        </w:numPr>
        <w:spacing w:line="480" w:lineRule="exact"/>
        <w:ind w:firstLine="640" w:firstLineChars="200"/>
        <w:jc w:val="both"/>
        <w:outlineLvl w:val="9"/>
        <w:rPr>
          <w:rFonts w:hint="eastAsia" w:ascii="黑体" w:hAnsi="黑体" w:eastAsia="黑体" w:cs="黑体"/>
          <w:b w:val="0"/>
          <w:bCs w:val="0"/>
          <w:w w:val="100"/>
          <w:sz w:val="32"/>
          <w:szCs w:val="32"/>
          <w:lang w:val="en-US" w:eastAsia="zh-CN"/>
        </w:rPr>
      </w:pPr>
      <w:r>
        <w:rPr>
          <w:rFonts w:hint="eastAsia" w:ascii="仿宋_GB2312" w:hAnsi="仿宋_GB2312" w:eastAsia="仿宋_GB2312" w:cs="仿宋_GB2312"/>
          <w:b w:val="0"/>
          <w:bCs w:val="0"/>
          <w:i w:val="0"/>
          <w:iCs w:val="0"/>
          <w:caps w:val="0"/>
          <w:color w:val="auto"/>
          <w:spacing w:val="0"/>
          <w:w w:val="100"/>
          <w:sz w:val="32"/>
          <w:szCs w:val="32"/>
          <w:shd w:val="clear" w:color="auto" w:fill="FFFFFF"/>
          <w:lang w:val="en-US" w:eastAsia="zh-CN"/>
        </w:rPr>
        <w:t>建议考生在计算机</w:t>
      </w:r>
      <w:r>
        <w:rPr>
          <w:rFonts w:hint="eastAsia" w:ascii="仿宋_GB2312" w:hAnsi="仿宋_GB2312" w:eastAsia="仿宋_GB2312" w:cs="仿宋_GB2312"/>
          <w:i w:val="0"/>
          <w:iCs w:val="0"/>
          <w:caps w:val="0"/>
          <w:color w:val="auto"/>
          <w:spacing w:val="0"/>
          <w:w w:val="100"/>
          <w:sz w:val="32"/>
          <w:szCs w:val="32"/>
          <w:shd w:val="clear" w:color="auto" w:fill="FFFFFF"/>
          <w:lang w:val="en-US" w:eastAsia="zh-CN"/>
        </w:rPr>
        <w:t>Chrome（谷歌）浏览器</w:t>
      </w:r>
      <w:r>
        <w:rPr>
          <w:rFonts w:hint="eastAsia" w:ascii="仿宋_GB2312" w:hAnsi="仿宋_GB2312" w:eastAsia="仿宋_GB2312" w:cs="仿宋_GB2312"/>
          <w:b w:val="0"/>
          <w:bCs w:val="0"/>
          <w:i w:val="0"/>
          <w:iCs w:val="0"/>
          <w:caps w:val="0"/>
          <w:color w:val="auto"/>
          <w:spacing w:val="0"/>
          <w:w w:val="100"/>
          <w:sz w:val="32"/>
          <w:szCs w:val="32"/>
          <w:shd w:val="clear" w:color="auto" w:fill="FFFFFF"/>
          <w:lang w:val="en-US" w:eastAsia="zh-CN"/>
        </w:rPr>
        <w:t>地址栏输入</w:t>
      </w:r>
      <w:r>
        <w:rPr>
          <w:rFonts w:hint="eastAsia" w:ascii="仿宋_GB2312" w:hAnsi="仿宋_GB2312" w:eastAsia="仿宋_GB2312" w:cs="仿宋_GB2312"/>
          <w:b w:val="0"/>
          <w:bCs w:val="0"/>
          <w:color w:val="auto"/>
          <w:w w:val="100"/>
          <w:sz w:val="32"/>
          <w:szCs w:val="32"/>
          <w:lang w:val="en-US" w:eastAsia="zh-CN"/>
        </w:rPr>
        <w:t>网址（</w:t>
      </w:r>
      <w:r>
        <w:rPr>
          <w:rFonts w:hint="eastAsia" w:ascii="Times New Roman" w:hAnsi="Times New Roman" w:eastAsia="仿宋_GB2312" w:cs="Times New Roman"/>
          <w:w w:val="100"/>
          <w:sz w:val="32"/>
          <w:szCs w:val="32"/>
          <w:lang w:val="en-US" w:eastAsia="zh-CN"/>
        </w:rPr>
        <w:t>http://ptgx.zsks.edu.xizang.gov.cn:8086</w:t>
      </w:r>
      <w:r>
        <w:rPr>
          <w:rFonts w:hint="eastAsia" w:ascii="仿宋_GB2312" w:hAnsi="仿宋_GB2312" w:eastAsia="仿宋_GB2312" w:cs="仿宋_GB2312"/>
          <w:b w:val="0"/>
          <w:bCs w:val="0"/>
          <w:color w:val="auto"/>
          <w:w w:val="100"/>
          <w:sz w:val="32"/>
          <w:szCs w:val="32"/>
          <w:lang w:val="en-US" w:eastAsia="zh-CN"/>
        </w:rPr>
        <w:t>）</w:t>
      </w:r>
      <w:r>
        <w:rPr>
          <w:rFonts w:hint="eastAsia" w:ascii="仿宋_GB2312" w:hAnsi="仿宋_GB2312" w:eastAsia="仿宋_GB2312" w:cs="仿宋_GB2312"/>
          <w:i w:val="0"/>
          <w:iCs w:val="0"/>
          <w:caps w:val="0"/>
          <w:color w:val="auto"/>
          <w:spacing w:val="0"/>
          <w:w w:val="100"/>
          <w:sz w:val="32"/>
          <w:szCs w:val="32"/>
          <w:shd w:val="clear" w:color="auto" w:fill="FFFFFF"/>
          <w:lang w:val="en-US" w:eastAsia="zh-CN"/>
        </w:rPr>
        <w:t>回车后进入“</w:t>
      </w:r>
      <w:r>
        <w:rPr>
          <w:rFonts w:hint="eastAsia" w:ascii="仿宋_GB2312" w:hAnsi="仿宋_GB2312" w:eastAsia="仿宋_GB2312" w:cs="仿宋_GB2312"/>
          <w:i w:val="0"/>
          <w:iCs w:val="0"/>
          <w:caps w:val="0"/>
          <w:color w:val="auto"/>
          <w:spacing w:val="0"/>
          <w:w w:val="100"/>
          <w:sz w:val="32"/>
          <w:szCs w:val="32"/>
          <w:shd w:val="clear" w:color="auto" w:fill="FFFFFF"/>
        </w:rPr>
        <w:t>西藏自治区普通</w:t>
      </w:r>
      <w:r>
        <w:rPr>
          <w:rFonts w:hint="eastAsia" w:ascii="仿宋_GB2312" w:hAnsi="仿宋_GB2312" w:eastAsia="仿宋_GB2312" w:cs="仿宋_GB2312"/>
          <w:i w:val="0"/>
          <w:iCs w:val="0"/>
          <w:caps w:val="0"/>
          <w:color w:val="auto"/>
          <w:spacing w:val="0"/>
          <w:w w:val="100"/>
          <w:sz w:val="32"/>
          <w:szCs w:val="32"/>
          <w:shd w:val="clear" w:color="auto" w:fill="FFFFFF"/>
          <w:lang w:val="en-US" w:eastAsia="zh-CN"/>
        </w:rPr>
        <w:t>高校</w:t>
      </w:r>
      <w:r>
        <w:rPr>
          <w:rFonts w:hint="eastAsia" w:ascii="仿宋_GB2312" w:hAnsi="仿宋_GB2312" w:eastAsia="仿宋_GB2312" w:cs="仿宋_GB2312"/>
          <w:i w:val="0"/>
          <w:iCs w:val="0"/>
          <w:caps w:val="0"/>
          <w:color w:val="auto"/>
          <w:spacing w:val="0"/>
          <w:w w:val="100"/>
          <w:sz w:val="32"/>
          <w:szCs w:val="32"/>
          <w:shd w:val="clear" w:color="auto" w:fill="FFFFFF"/>
        </w:rPr>
        <w:t>招生</w:t>
      </w:r>
      <w:r>
        <w:rPr>
          <w:rFonts w:hint="eastAsia" w:ascii="仿宋_GB2312" w:hAnsi="仿宋_GB2312" w:eastAsia="仿宋_GB2312" w:cs="仿宋_GB2312"/>
          <w:i w:val="0"/>
          <w:iCs w:val="0"/>
          <w:caps w:val="0"/>
          <w:color w:val="auto"/>
          <w:spacing w:val="0"/>
          <w:w w:val="100"/>
          <w:sz w:val="32"/>
          <w:szCs w:val="32"/>
          <w:shd w:val="clear" w:color="auto" w:fill="FFFFFF"/>
          <w:lang w:val="en-US" w:eastAsia="zh-CN"/>
        </w:rPr>
        <w:t>志愿填报辅助</w:t>
      </w:r>
      <w:r>
        <w:rPr>
          <w:rFonts w:hint="eastAsia" w:ascii="仿宋_GB2312" w:hAnsi="仿宋_GB2312" w:eastAsia="仿宋_GB2312" w:cs="仿宋_GB2312"/>
          <w:i w:val="0"/>
          <w:iCs w:val="0"/>
          <w:caps w:val="0"/>
          <w:color w:val="auto"/>
          <w:spacing w:val="0"/>
          <w:w w:val="100"/>
          <w:sz w:val="32"/>
          <w:szCs w:val="32"/>
          <w:shd w:val="clear" w:color="auto" w:fill="FFFFFF"/>
        </w:rPr>
        <w:t>系</w:t>
      </w:r>
      <w:r>
        <w:rPr>
          <w:rFonts w:hint="eastAsia" w:ascii="仿宋_GB2312" w:hAnsi="仿宋_GB2312" w:eastAsia="仿宋_GB2312" w:cs="仿宋_GB2312"/>
          <w:i w:val="0"/>
          <w:iCs w:val="0"/>
          <w:caps w:val="0"/>
          <w:color w:val="auto"/>
          <w:spacing w:val="0"/>
          <w:w w:val="100"/>
          <w:sz w:val="32"/>
          <w:szCs w:val="32"/>
          <w:shd w:val="clear" w:color="auto" w:fill="FFFFFF"/>
          <w:lang w:eastAsia="zh-CN"/>
        </w:rPr>
        <w:t>统”</w:t>
      </w:r>
      <w:r>
        <w:rPr>
          <w:rFonts w:hint="eastAsia" w:ascii="仿宋_GB2312" w:hAnsi="仿宋_GB2312" w:eastAsia="仿宋_GB2312" w:cs="仿宋_GB2312"/>
          <w:i w:val="0"/>
          <w:iCs w:val="0"/>
          <w:caps w:val="0"/>
          <w:color w:val="auto"/>
          <w:spacing w:val="0"/>
          <w:w w:val="100"/>
          <w:sz w:val="32"/>
          <w:szCs w:val="32"/>
          <w:shd w:val="clear" w:color="auto" w:fill="FFFFFF"/>
          <w:lang w:val="en-US" w:eastAsia="zh-CN"/>
        </w:rPr>
        <w:t>考生登录界面。</w:t>
      </w:r>
    </w:p>
    <w:p w14:paraId="73D6AA9F">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二、登录</w:t>
      </w:r>
    </w:p>
    <w:p w14:paraId="70E9820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2.1 系统登录方式。区内考生在考生登录界面输入考生号、证件号码、密码（密码和高考报名系统密码一致）、图形验证码后进行登录。如图-21所示。</w:t>
      </w:r>
    </w:p>
    <w:p w14:paraId="15B78D9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3" w:firstLineChars="200"/>
        <w:textAlignment w:val="auto"/>
        <w:rPr>
          <w:rFonts w:hint="default" w:ascii="仿宋_GB2312" w:hAnsi="仿宋_GB2312" w:eastAsia="仿宋_GB2312" w:cs="仿宋_GB2312"/>
          <w:color w:val="FF0000"/>
          <w:sz w:val="32"/>
          <w:szCs w:val="32"/>
          <w:lang w:val="en-US" w:eastAsia="zh-CN"/>
        </w:rPr>
      </w:pPr>
      <w:r>
        <w:rPr>
          <w:rFonts w:hint="eastAsia" w:ascii="仿宋_GB2312" w:hAnsi="仿宋_GB2312" w:eastAsia="仿宋_GB2312" w:cs="仿宋_GB2312"/>
          <w:b/>
          <w:bCs/>
          <w:sz w:val="32"/>
          <w:szCs w:val="32"/>
          <w:lang w:val="en-US" w:eastAsia="zh-CN"/>
        </w:rPr>
        <w:t>注意：</w:t>
      </w:r>
      <w:r>
        <w:rPr>
          <w:rFonts w:hint="eastAsia" w:ascii="仿宋_GB2312" w:hAnsi="仿宋_GB2312" w:eastAsia="仿宋_GB2312" w:cs="仿宋_GB2312"/>
          <w:sz w:val="32"/>
          <w:szCs w:val="32"/>
          <w:lang w:val="en-US" w:eastAsia="zh-CN"/>
        </w:rPr>
        <w:t>登录成功后系统30分钟内无任何操作将会登录失效并自动退出系统。</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建议考生每次使用操作结束后，及时退出系统，妥善保管自己的登录账户和密码。</w:t>
      </w:r>
      <w:r>
        <w:rPr>
          <w:rFonts w:hint="default" w:ascii="Times New Roman" w:hAnsi="Times New Roman" w:eastAsia="仿宋_GB2312" w:cs="Times New Roman"/>
          <w:color w:val="000000" w:themeColor="text1"/>
          <w:sz w:val="32"/>
          <w:szCs w:val="32"/>
          <w14:textFill>
            <w14:solidFill>
              <w14:schemeClr w14:val="tx1"/>
            </w14:solidFill>
          </w14:textFill>
        </w:rPr>
        <w:t>若因自身保管不慎泄露密码，后果由考生自负。</w:t>
      </w:r>
    </w:p>
    <w:p w14:paraId="4DFE007C">
      <w:pPr>
        <w:widowControl w:val="0"/>
        <w:numPr>
          <w:ilvl w:val="0"/>
          <w:numId w:val="0"/>
        </w:numPr>
        <w:jc w:val="both"/>
        <w:rPr>
          <w:rFonts w:hint="default"/>
          <w:lang w:val="en-US" w:eastAsia="zh-CN"/>
        </w:rPr>
      </w:pPr>
      <w:r>
        <w:rPr>
          <w:rFonts w:hint="default"/>
          <w:lang w:val="en-US" w:eastAsia="zh-CN"/>
        </w:rPr>
        <w:drawing>
          <wp:inline distT="0" distB="0" distL="114300" distR="114300">
            <wp:extent cx="5260340" cy="2626995"/>
            <wp:effectExtent l="0" t="0" r="10160" b="1905"/>
            <wp:docPr id="10" name="图片 10" descr="11e3b58bb59425ddc12eb562e9df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e3b58bb59425ddc12eb562e9dfdee"/>
                    <pic:cNvPicPr>
                      <a:picLocks noChangeAspect="1"/>
                    </pic:cNvPicPr>
                  </pic:nvPicPr>
                  <pic:blipFill>
                    <a:blip r:embed="rId4"/>
                    <a:stretch>
                      <a:fillRect/>
                    </a:stretch>
                  </pic:blipFill>
                  <pic:spPr>
                    <a:xfrm>
                      <a:off x="0" y="0"/>
                      <a:ext cx="5260340" cy="2626995"/>
                    </a:xfrm>
                    <a:prstGeom prst="rect">
                      <a:avLst/>
                    </a:prstGeom>
                  </pic:spPr>
                </pic:pic>
              </a:graphicData>
            </a:graphic>
          </wp:inline>
        </w:drawing>
      </w:r>
    </w:p>
    <w:p w14:paraId="2900796F">
      <w:pPr>
        <w:widowControl w:val="0"/>
        <w:numPr>
          <w:ilvl w:val="0"/>
          <w:numId w:val="0"/>
        </w:numPr>
        <w:jc w:val="center"/>
        <w:rPr>
          <w:rFonts w:hint="default"/>
          <w:lang w:val="en-US" w:eastAsia="zh-CN"/>
        </w:rPr>
      </w:pPr>
      <w:r>
        <w:rPr>
          <w:rFonts w:hint="eastAsia"/>
          <w:lang w:val="en-US" w:eastAsia="zh-CN"/>
        </w:rPr>
        <w:t>图-21</w:t>
      </w:r>
    </w:p>
    <w:p w14:paraId="1F83C546">
      <w:pPr>
        <w:numPr>
          <w:ilvl w:val="0"/>
          <w:numId w:val="0"/>
        </w:numPr>
        <w:ind w:firstLine="0" w:firstLineChars="0"/>
        <w:rPr>
          <w:rFonts w:hint="default"/>
          <w:lang w:val="en-US" w:eastAsia="zh-CN"/>
        </w:rPr>
      </w:pPr>
    </w:p>
    <w:p w14:paraId="1C5241C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2.2 修改密码。首次登录系统的考生需要修改密码，修改完成后重新使用考生号、证件号码、新密码登录系统。如图-22所示。</w:t>
      </w:r>
    </w:p>
    <w:p w14:paraId="2D6260A7">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17470"/>
            <wp:effectExtent l="0" t="0" r="10160" b="11430"/>
            <wp:docPr id="12" name="图片 12" descr="5775d6564490a815176934e8896c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775d6564490a815176934e8896c905"/>
                    <pic:cNvPicPr>
                      <a:picLocks noChangeAspect="1"/>
                    </pic:cNvPicPr>
                  </pic:nvPicPr>
                  <pic:blipFill>
                    <a:blip r:embed="rId5"/>
                    <a:stretch>
                      <a:fillRect/>
                    </a:stretch>
                  </pic:blipFill>
                  <pic:spPr>
                    <a:xfrm>
                      <a:off x="0" y="0"/>
                      <a:ext cx="5273040" cy="2617470"/>
                    </a:xfrm>
                    <a:prstGeom prst="rect">
                      <a:avLst/>
                    </a:prstGeom>
                  </pic:spPr>
                </pic:pic>
              </a:graphicData>
            </a:graphic>
          </wp:inline>
        </w:drawing>
      </w:r>
    </w:p>
    <w:p w14:paraId="7260BC59">
      <w:pPr>
        <w:widowControl w:val="0"/>
        <w:numPr>
          <w:ilvl w:val="0"/>
          <w:numId w:val="0"/>
        </w:numPr>
        <w:jc w:val="center"/>
        <w:rPr>
          <w:rFonts w:hint="eastAsia"/>
          <w:lang w:val="en-US" w:eastAsia="zh-CN"/>
        </w:rPr>
      </w:pPr>
      <w:r>
        <w:rPr>
          <w:rFonts w:hint="eastAsia"/>
          <w:lang w:val="en-US" w:eastAsia="zh-CN"/>
        </w:rPr>
        <w:t>图-22</w:t>
      </w:r>
    </w:p>
    <w:p w14:paraId="570206E1">
      <w:pPr>
        <w:widowControl w:val="0"/>
        <w:numPr>
          <w:ilvl w:val="0"/>
          <w:numId w:val="0"/>
        </w:numPr>
        <w:jc w:val="center"/>
        <w:rPr>
          <w:rFonts w:hint="eastAsia"/>
          <w:lang w:val="en-US" w:eastAsia="zh-CN"/>
        </w:rPr>
      </w:pPr>
    </w:p>
    <w:p w14:paraId="7812C2D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2.3 密码找回方式。如果考生忘记密码可以点击登录页面“忘记密码”，系统会弹出找回密码弹窗，通过在弹窗中填写相关信息进行找回密码；也可以向高考报名时报名点教育招生考试机构提出书面申请重置密码。如图-23所示。</w:t>
      </w:r>
    </w:p>
    <w:p w14:paraId="5D6734C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p>
    <w:p w14:paraId="40D4E789">
      <w:pPr>
        <w:widowControl w:val="0"/>
        <w:numPr>
          <w:ilvl w:val="0"/>
          <w:numId w:val="0"/>
        </w:numPr>
        <w:jc w:val="center"/>
        <w:rPr>
          <w:rFonts w:hint="default"/>
          <w:lang w:val="en-US" w:eastAsia="zh-CN"/>
        </w:rPr>
      </w:pPr>
      <w:r>
        <w:rPr>
          <w:rFonts w:hint="default"/>
          <w:lang w:val="en-US" w:eastAsia="zh-CN"/>
        </w:rPr>
        <w:drawing>
          <wp:inline distT="0" distB="0" distL="114300" distR="114300">
            <wp:extent cx="5260340" cy="2626995"/>
            <wp:effectExtent l="0" t="0" r="10160" b="1905"/>
            <wp:docPr id="6" name="图片 6" descr="f9b1d2d27b8203fb4a669b8ae090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9b1d2d27b8203fb4a669b8ae090b78"/>
                    <pic:cNvPicPr>
                      <a:picLocks noChangeAspect="1"/>
                    </pic:cNvPicPr>
                  </pic:nvPicPr>
                  <pic:blipFill>
                    <a:blip r:embed="rId6"/>
                    <a:stretch>
                      <a:fillRect/>
                    </a:stretch>
                  </pic:blipFill>
                  <pic:spPr>
                    <a:xfrm>
                      <a:off x="0" y="0"/>
                      <a:ext cx="5260340" cy="2626995"/>
                    </a:xfrm>
                    <a:prstGeom prst="rect">
                      <a:avLst/>
                    </a:prstGeom>
                  </pic:spPr>
                </pic:pic>
              </a:graphicData>
            </a:graphic>
          </wp:inline>
        </w:drawing>
      </w:r>
    </w:p>
    <w:p w14:paraId="7E6795E9">
      <w:pPr>
        <w:widowControl w:val="0"/>
        <w:numPr>
          <w:ilvl w:val="0"/>
          <w:numId w:val="0"/>
        </w:numPr>
        <w:jc w:val="center"/>
        <w:rPr>
          <w:rFonts w:hint="eastAsia"/>
          <w:lang w:val="en-US" w:eastAsia="zh-CN"/>
        </w:rPr>
      </w:pPr>
      <w:r>
        <w:rPr>
          <w:rFonts w:hint="eastAsia"/>
          <w:lang w:val="en-US" w:eastAsia="zh-CN"/>
        </w:rPr>
        <w:t>图-23</w:t>
      </w:r>
    </w:p>
    <w:p w14:paraId="55998430">
      <w:pPr>
        <w:widowControl w:val="0"/>
        <w:numPr>
          <w:ilvl w:val="0"/>
          <w:numId w:val="0"/>
        </w:numPr>
        <w:jc w:val="both"/>
        <w:outlineLvl w:val="9"/>
        <w:rPr>
          <w:rFonts w:hint="default"/>
          <w:lang w:val="en-US" w:eastAsia="zh-CN"/>
        </w:rPr>
      </w:pPr>
    </w:p>
    <w:p w14:paraId="5514EB54">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三、主页</w:t>
      </w:r>
    </w:p>
    <w:p w14:paraId="774A7CE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3.1 登录主页。登录成功后进入主页，系统首先会弹窗显示“西藏自治区普通高校招生志愿填报辅助系统使用须知”，请考生仔细阅读，并点击勾选“以上内容我已仔细阅读，确认已知晓”，如图-31所示。再点击“确认”按钮即可使用系统。如图-32所示。</w:t>
      </w:r>
    </w:p>
    <w:p w14:paraId="77C96B8F">
      <w:pPr>
        <w:widowControl w:val="0"/>
        <w:numPr>
          <w:ilvl w:val="0"/>
          <w:numId w:val="0"/>
        </w:numPr>
        <w:jc w:val="center"/>
        <w:rPr>
          <w:rFonts w:hint="default"/>
          <w:lang w:val="en-US" w:eastAsia="zh-CN"/>
        </w:rPr>
      </w:pPr>
      <w:r>
        <w:rPr>
          <w:rFonts w:hint="default"/>
          <w:lang w:val="en-US" w:eastAsia="zh-CN"/>
        </w:rPr>
        <w:drawing>
          <wp:inline distT="0" distB="0" distL="114300" distR="114300">
            <wp:extent cx="5266690" cy="2386330"/>
            <wp:effectExtent l="0" t="0" r="3810" b="1270"/>
            <wp:docPr id="28" name="图片 28" descr="C:/Users/admin/Desktop/微信图片_20250626212810.png微信图片_2025062621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微信图片_20250626212810.png微信图片_20250626212810"/>
                    <pic:cNvPicPr>
                      <a:picLocks noChangeAspect="1"/>
                    </pic:cNvPicPr>
                  </pic:nvPicPr>
                  <pic:blipFill>
                    <a:blip r:embed="rId7"/>
                    <a:srcRect t="4642" b="4642"/>
                    <a:stretch>
                      <a:fillRect/>
                    </a:stretch>
                  </pic:blipFill>
                  <pic:spPr>
                    <a:xfrm>
                      <a:off x="0" y="0"/>
                      <a:ext cx="5266690" cy="2386330"/>
                    </a:xfrm>
                    <a:prstGeom prst="rect">
                      <a:avLst/>
                    </a:prstGeom>
                  </pic:spPr>
                </pic:pic>
              </a:graphicData>
            </a:graphic>
          </wp:inline>
        </w:drawing>
      </w:r>
    </w:p>
    <w:p w14:paraId="60A25445">
      <w:pPr>
        <w:widowControl w:val="0"/>
        <w:numPr>
          <w:ilvl w:val="0"/>
          <w:numId w:val="0"/>
        </w:numPr>
        <w:jc w:val="center"/>
        <w:rPr>
          <w:rFonts w:hint="eastAsia"/>
          <w:lang w:val="en-US" w:eastAsia="zh-CN"/>
        </w:rPr>
      </w:pPr>
      <w:r>
        <w:rPr>
          <w:rFonts w:hint="eastAsia"/>
          <w:lang w:val="en-US" w:eastAsia="zh-CN"/>
        </w:rPr>
        <w:t>图-31</w:t>
      </w:r>
    </w:p>
    <w:p w14:paraId="5CC58462">
      <w:pPr>
        <w:widowControl w:val="0"/>
        <w:numPr>
          <w:ilvl w:val="0"/>
          <w:numId w:val="0"/>
        </w:numPr>
        <w:jc w:val="center"/>
        <w:rPr>
          <w:rFonts w:hint="default"/>
          <w:lang w:val="en-US" w:eastAsia="zh-CN"/>
        </w:rPr>
      </w:pPr>
      <w:r>
        <w:rPr>
          <w:rFonts w:hint="default"/>
          <w:lang w:val="en-US" w:eastAsia="zh-CN"/>
        </w:rPr>
        <w:drawing>
          <wp:inline distT="0" distB="0" distL="114300" distR="114300">
            <wp:extent cx="5266690" cy="2386330"/>
            <wp:effectExtent l="0" t="0" r="3810" b="1270"/>
            <wp:docPr id="29" name="图片 29" descr="C:/Users/admin/Desktop/微信图片_20250626212618.png微信图片_2025062621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微信图片_20250626212618.png微信图片_20250626212618"/>
                    <pic:cNvPicPr>
                      <a:picLocks noChangeAspect="1"/>
                    </pic:cNvPicPr>
                  </pic:nvPicPr>
                  <pic:blipFill>
                    <a:blip r:embed="rId8"/>
                    <a:srcRect t="4642" b="4642"/>
                    <a:stretch>
                      <a:fillRect/>
                    </a:stretch>
                  </pic:blipFill>
                  <pic:spPr>
                    <a:xfrm>
                      <a:off x="0" y="0"/>
                      <a:ext cx="5266690" cy="2386330"/>
                    </a:xfrm>
                    <a:prstGeom prst="rect">
                      <a:avLst/>
                    </a:prstGeom>
                  </pic:spPr>
                </pic:pic>
              </a:graphicData>
            </a:graphic>
          </wp:inline>
        </w:drawing>
      </w:r>
    </w:p>
    <w:p w14:paraId="6C2A640E">
      <w:pPr>
        <w:widowControl w:val="0"/>
        <w:numPr>
          <w:ilvl w:val="0"/>
          <w:numId w:val="0"/>
        </w:numPr>
        <w:jc w:val="center"/>
        <w:rPr>
          <w:rFonts w:hint="eastAsia"/>
          <w:lang w:val="en-US" w:eastAsia="zh-CN"/>
        </w:rPr>
      </w:pPr>
      <w:r>
        <w:rPr>
          <w:rFonts w:hint="eastAsia"/>
          <w:lang w:val="en-US" w:eastAsia="zh-CN"/>
        </w:rPr>
        <w:t>图-32</w:t>
      </w:r>
    </w:p>
    <w:p w14:paraId="57A5E031">
      <w:pPr>
        <w:widowControl w:val="0"/>
        <w:numPr>
          <w:ilvl w:val="0"/>
          <w:numId w:val="0"/>
        </w:numPr>
        <w:jc w:val="both"/>
        <w:rPr>
          <w:rFonts w:hint="eastAsia"/>
          <w:lang w:val="en-US" w:eastAsia="zh-CN"/>
        </w:rPr>
      </w:pPr>
    </w:p>
    <w:p w14:paraId="62106852">
      <w:pPr>
        <w:widowControl w:val="0"/>
        <w:numPr>
          <w:ilvl w:val="0"/>
          <w:numId w:val="0"/>
        </w:numPr>
        <w:jc w:val="both"/>
        <w:rPr>
          <w:rFonts w:hint="eastAsia"/>
          <w:lang w:val="en-US" w:eastAsia="zh-CN"/>
        </w:rPr>
      </w:pPr>
    </w:p>
    <w:p w14:paraId="6F90A82E">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四、政策介绍</w:t>
      </w:r>
    </w:p>
    <w:p w14:paraId="278151A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4.1 筛选查询。系统已汇总国家和自治区相关通知公告、招考政策、心理评测、志愿前景、填报指南等信息，考生可以通过筛选查询志愿填报相关信息。</w:t>
      </w:r>
    </w:p>
    <w:p w14:paraId="0F66D49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4.2 查询方式。可点击选中筛选项（范围、类别）或输入标题后，点击“查询”按钮即可进行筛选查询；已选中的筛选项再次点击即可取消选中；点击“重置”按钮可取消上面所有已选筛选项。如图-42所示。（注：系统后续功能列表信息查询方式与此一致。）</w:t>
      </w:r>
    </w:p>
    <w:p w14:paraId="08D46A9A">
      <w:pPr>
        <w:widowControl w:val="0"/>
        <w:numPr>
          <w:ilvl w:val="0"/>
          <w:numId w:val="0"/>
        </w:numPr>
        <w:jc w:val="center"/>
        <w:rPr>
          <w:rFonts w:hint="default"/>
          <w:lang w:val="en-US" w:eastAsia="zh-CN"/>
        </w:rPr>
      </w:pPr>
      <w:r>
        <w:rPr>
          <w:rFonts w:hint="default"/>
          <w:lang w:val="en-US" w:eastAsia="zh-CN"/>
        </w:rPr>
        <w:drawing>
          <wp:inline distT="0" distB="0" distL="114300" distR="114300">
            <wp:extent cx="5266690" cy="2386330"/>
            <wp:effectExtent l="0" t="0" r="3810" b="1270"/>
            <wp:docPr id="37" name="图片 37" descr="C:/Users/admin/Desktop/微信图片_20250626213233.png微信图片_2025062621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Desktop/微信图片_20250626213233.png微信图片_20250626213233"/>
                    <pic:cNvPicPr>
                      <a:picLocks noChangeAspect="1"/>
                    </pic:cNvPicPr>
                  </pic:nvPicPr>
                  <pic:blipFill>
                    <a:blip r:embed="rId9"/>
                    <a:srcRect t="4642" b="4642"/>
                    <a:stretch>
                      <a:fillRect/>
                    </a:stretch>
                  </pic:blipFill>
                  <pic:spPr>
                    <a:xfrm>
                      <a:off x="0" y="0"/>
                      <a:ext cx="5266690" cy="2386330"/>
                    </a:xfrm>
                    <a:prstGeom prst="rect">
                      <a:avLst/>
                    </a:prstGeom>
                  </pic:spPr>
                </pic:pic>
              </a:graphicData>
            </a:graphic>
          </wp:inline>
        </w:drawing>
      </w:r>
    </w:p>
    <w:p w14:paraId="0AC7E1BA">
      <w:pPr>
        <w:widowControl w:val="0"/>
        <w:numPr>
          <w:ilvl w:val="0"/>
          <w:numId w:val="0"/>
        </w:numPr>
        <w:jc w:val="center"/>
        <w:rPr>
          <w:rFonts w:hint="default"/>
          <w:lang w:val="en-US" w:eastAsia="zh-CN"/>
        </w:rPr>
      </w:pPr>
      <w:r>
        <w:rPr>
          <w:rFonts w:hint="eastAsia"/>
          <w:lang w:val="en-US" w:eastAsia="zh-CN"/>
        </w:rPr>
        <w:t>图-42</w:t>
      </w:r>
    </w:p>
    <w:p w14:paraId="5EDADAC1">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p>
    <w:p w14:paraId="4038BE5C">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五、院校介绍</w:t>
      </w:r>
    </w:p>
    <w:p w14:paraId="228C64F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5.1 筛选院校。院校介绍链接到教育部阳光高考网站“院校库”，供考生筛选院校信息。如图-51所示。</w:t>
      </w:r>
    </w:p>
    <w:p w14:paraId="1AC68A7F">
      <w:pPr>
        <w:widowControl w:val="0"/>
        <w:numPr>
          <w:ilvl w:val="0"/>
          <w:numId w:val="0"/>
        </w:numPr>
        <w:jc w:val="center"/>
        <w:rPr>
          <w:rFonts w:hint="default"/>
          <w:lang w:val="en-US" w:eastAsia="zh-CN"/>
        </w:rPr>
      </w:pPr>
      <w:r>
        <w:rPr>
          <w:rFonts w:hint="default"/>
          <w:b w:val="0"/>
          <w:bCs w:val="0"/>
          <w:lang w:val="en-US" w:eastAsia="zh-CN"/>
        </w:rPr>
        <w:drawing>
          <wp:inline distT="0" distB="0" distL="114300" distR="114300">
            <wp:extent cx="5266690" cy="2614295"/>
            <wp:effectExtent l="0" t="0" r="3810" b="1905"/>
            <wp:docPr id="8" name="图片 8" descr="171907783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9077836707"/>
                    <pic:cNvPicPr>
                      <a:picLocks noChangeAspect="1"/>
                    </pic:cNvPicPr>
                  </pic:nvPicPr>
                  <pic:blipFill>
                    <a:blip r:embed="rId10"/>
                    <a:stretch>
                      <a:fillRect/>
                    </a:stretch>
                  </pic:blipFill>
                  <pic:spPr>
                    <a:xfrm>
                      <a:off x="0" y="0"/>
                      <a:ext cx="5266690" cy="2614295"/>
                    </a:xfrm>
                    <a:prstGeom prst="rect">
                      <a:avLst/>
                    </a:prstGeom>
                  </pic:spPr>
                </pic:pic>
              </a:graphicData>
            </a:graphic>
          </wp:inline>
        </w:drawing>
      </w:r>
    </w:p>
    <w:p w14:paraId="6B146058">
      <w:pPr>
        <w:widowControl w:val="0"/>
        <w:numPr>
          <w:ilvl w:val="0"/>
          <w:numId w:val="0"/>
        </w:numPr>
        <w:jc w:val="center"/>
        <w:rPr>
          <w:rFonts w:hint="eastAsia"/>
          <w:lang w:val="en-US" w:eastAsia="zh-CN"/>
        </w:rPr>
      </w:pPr>
      <w:r>
        <w:rPr>
          <w:rFonts w:hint="eastAsia"/>
          <w:lang w:val="en-US" w:eastAsia="zh-CN"/>
        </w:rPr>
        <w:t>图-51</w:t>
      </w:r>
    </w:p>
    <w:p w14:paraId="643890A3">
      <w:pPr>
        <w:widowControl w:val="0"/>
        <w:numPr>
          <w:ilvl w:val="0"/>
          <w:numId w:val="0"/>
        </w:numPr>
        <w:jc w:val="both"/>
        <w:rPr>
          <w:rFonts w:hint="eastAsia"/>
          <w:b/>
          <w:bCs/>
          <w:lang w:val="en-US" w:eastAsia="zh-CN"/>
        </w:rPr>
      </w:pPr>
    </w:p>
    <w:p w14:paraId="4EBACBE9">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六、专业介绍</w:t>
      </w:r>
    </w:p>
    <w:p w14:paraId="7C12A52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6.1 筛选专业。院校介绍链接到教育部阳光高考网站“专业知识库”供考生筛选专业信息。如图-61所示。</w:t>
      </w:r>
    </w:p>
    <w:p w14:paraId="0C0AD421">
      <w:pPr>
        <w:widowControl w:val="0"/>
        <w:numPr>
          <w:ilvl w:val="0"/>
          <w:numId w:val="0"/>
        </w:numPr>
        <w:jc w:val="center"/>
        <w:rPr>
          <w:rFonts w:hint="default"/>
          <w:lang w:val="en-US" w:eastAsia="zh-CN"/>
        </w:rPr>
      </w:pPr>
      <w:r>
        <w:rPr>
          <w:rFonts w:hint="default"/>
          <w:lang w:val="en-US" w:eastAsia="zh-CN"/>
        </w:rPr>
        <w:drawing>
          <wp:inline distT="0" distB="0" distL="114300" distR="114300">
            <wp:extent cx="5266690" cy="2614295"/>
            <wp:effectExtent l="0" t="0" r="3810" b="1905"/>
            <wp:docPr id="9" name="图片 9" descr="1719077889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9077889119"/>
                    <pic:cNvPicPr>
                      <a:picLocks noChangeAspect="1"/>
                    </pic:cNvPicPr>
                  </pic:nvPicPr>
                  <pic:blipFill>
                    <a:blip r:embed="rId11"/>
                    <a:stretch>
                      <a:fillRect/>
                    </a:stretch>
                  </pic:blipFill>
                  <pic:spPr>
                    <a:xfrm>
                      <a:off x="0" y="0"/>
                      <a:ext cx="5266690" cy="2614295"/>
                    </a:xfrm>
                    <a:prstGeom prst="rect">
                      <a:avLst/>
                    </a:prstGeom>
                  </pic:spPr>
                </pic:pic>
              </a:graphicData>
            </a:graphic>
          </wp:inline>
        </w:drawing>
      </w:r>
    </w:p>
    <w:p w14:paraId="407EAD56">
      <w:pPr>
        <w:widowControl w:val="0"/>
        <w:numPr>
          <w:ilvl w:val="0"/>
          <w:numId w:val="0"/>
        </w:numPr>
        <w:jc w:val="center"/>
        <w:rPr>
          <w:rFonts w:hint="eastAsia"/>
          <w:lang w:val="en-US" w:eastAsia="zh-CN"/>
        </w:rPr>
      </w:pPr>
      <w:r>
        <w:rPr>
          <w:rFonts w:hint="eastAsia"/>
          <w:lang w:val="en-US" w:eastAsia="zh-CN"/>
        </w:rPr>
        <w:t>图-61</w:t>
      </w:r>
    </w:p>
    <w:p w14:paraId="29794661">
      <w:pPr>
        <w:widowControl w:val="0"/>
        <w:numPr>
          <w:ilvl w:val="0"/>
          <w:numId w:val="0"/>
        </w:numPr>
        <w:jc w:val="center"/>
        <w:rPr>
          <w:rFonts w:hint="eastAsia"/>
          <w:lang w:val="en-US" w:eastAsia="zh-CN"/>
        </w:rPr>
      </w:pPr>
    </w:p>
    <w:p w14:paraId="6DF5DCBA">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七、招生计划</w:t>
      </w:r>
    </w:p>
    <w:p w14:paraId="4331B21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7.1 计划分类。招生计划分为“2025年招生计划”和“2022-2025年招生计划”。</w:t>
      </w:r>
    </w:p>
    <w:p w14:paraId="4D343F7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7.2 查询2025年招生计划。如图-72所示，筛选项由“院校所在地、主管部门类别、办学层次、院校特性、批次</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选项和输入项“院校名称、专业名称”组成，筛选项默认全部，支持多选，点击“查询”按钮即可查询相应招生计划数据。查询方式参照（4.2）。</w:t>
      </w:r>
    </w:p>
    <w:p w14:paraId="20096B34">
      <w:pPr>
        <w:widowControl w:val="0"/>
        <w:numPr>
          <w:ilvl w:val="0"/>
          <w:numId w:val="0"/>
        </w:numPr>
        <w:jc w:val="center"/>
        <w:rPr>
          <w:rFonts w:hint="default"/>
          <w:lang w:val="en-US" w:eastAsia="zh-CN"/>
        </w:rPr>
      </w:pPr>
      <w:r>
        <w:rPr>
          <w:rFonts w:hint="default"/>
          <w:lang w:val="en-US" w:eastAsia="zh-CN"/>
        </w:rPr>
        <w:drawing>
          <wp:inline distT="0" distB="0" distL="114300" distR="114300">
            <wp:extent cx="5266690" cy="2386330"/>
            <wp:effectExtent l="0" t="0" r="3810" b="1270"/>
            <wp:docPr id="3" name="图片 3" descr="C:/Users/admin/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1.png1"/>
                    <pic:cNvPicPr>
                      <a:picLocks noChangeAspect="1"/>
                    </pic:cNvPicPr>
                  </pic:nvPicPr>
                  <pic:blipFill>
                    <a:blip r:embed="rId12"/>
                    <a:srcRect t="4642" b="4642"/>
                    <a:stretch>
                      <a:fillRect/>
                    </a:stretch>
                  </pic:blipFill>
                  <pic:spPr>
                    <a:xfrm>
                      <a:off x="0" y="0"/>
                      <a:ext cx="5266690" cy="2386330"/>
                    </a:xfrm>
                    <a:prstGeom prst="rect">
                      <a:avLst/>
                    </a:prstGeom>
                  </pic:spPr>
                </pic:pic>
              </a:graphicData>
            </a:graphic>
          </wp:inline>
        </w:drawing>
      </w:r>
    </w:p>
    <w:p w14:paraId="0CCC1A2F">
      <w:pPr>
        <w:widowControl w:val="0"/>
        <w:numPr>
          <w:ilvl w:val="0"/>
          <w:numId w:val="0"/>
        </w:numPr>
        <w:jc w:val="center"/>
        <w:rPr>
          <w:rFonts w:hint="eastAsia"/>
          <w:lang w:val="en-US" w:eastAsia="zh-CN"/>
        </w:rPr>
      </w:pPr>
      <w:r>
        <w:rPr>
          <w:rFonts w:hint="eastAsia"/>
          <w:lang w:val="en-US" w:eastAsia="zh-CN"/>
        </w:rPr>
        <w:t>图-72</w:t>
      </w:r>
    </w:p>
    <w:p w14:paraId="133AAA71">
      <w:pPr>
        <w:widowControl w:val="0"/>
        <w:numPr>
          <w:ilvl w:val="0"/>
          <w:numId w:val="0"/>
        </w:numPr>
        <w:ind w:firstLine="420" w:firstLineChars="0"/>
        <w:jc w:val="both"/>
        <w:rPr>
          <w:rFonts w:hint="eastAsia"/>
          <w:lang w:val="en-US" w:eastAsia="zh-CN"/>
        </w:rPr>
      </w:pPr>
    </w:p>
    <w:p w14:paraId="7B97158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7.3 筛选计划。点击“查询”按钮后，系统将展示2025年招生计划筛选结果，如图-73所示，通过列表分页展示招生计划年份、院校、专业、科类、批次、计划、学制、学费、备注信息。列表每页显示10条记录，点击右下角页码（或上一页、下一页）可进行翻页查看招生计划信息。</w:t>
      </w:r>
    </w:p>
    <w:p w14:paraId="59C078C4">
      <w:pPr>
        <w:widowControl w:val="0"/>
        <w:numPr>
          <w:ilvl w:val="-1"/>
          <w:numId w:val="0"/>
        </w:numPr>
        <w:jc w:val="both"/>
        <w:rPr>
          <w:rFonts w:hint="default"/>
          <w:lang w:val="en-US" w:eastAsia="zh-CN"/>
        </w:rPr>
      </w:pPr>
    </w:p>
    <w:p w14:paraId="0343E81C">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10160" b="7620"/>
            <wp:docPr id="40" name="图片 40" descr="C:/Users/admin/Desktop/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Desktop/11.png11"/>
                    <pic:cNvPicPr>
                      <a:picLocks noChangeAspect="1"/>
                    </pic:cNvPicPr>
                  </pic:nvPicPr>
                  <pic:blipFill>
                    <a:blip r:embed="rId13"/>
                    <a:srcRect t="241" b="241"/>
                    <a:stretch>
                      <a:fillRect/>
                    </a:stretch>
                  </pic:blipFill>
                  <pic:spPr>
                    <a:xfrm>
                      <a:off x="0" y="0"/>
                      <a:ext cx="5273040" cy="2621280"/>
                    </a:xfrm>
                    <a:prstGeom prst="rect">
                      <a:avLst/>
                    </a:prstGeom>
                  </pic:spPr>
                </pic:pic>
              </a:graphicData>
            </a:graphic>
          </wp:inline>
        </w:drawing>
      </w:r>
    </w:p>
    <w:p w14:paraId="24A867F2">
      <w:pPr>
        <w:widowControl w:val="0"/>
        <w:numPr>
          <w:ilvl w:val="0"/>
          <w:numId w:val="0"/>
        </w:numPr>
        <w:jc w:val="center"/>
        <w:rPr>
          <w:rFonts w:hint="default"/>
          <w:lang w:val="en-US" w:eastAsia="zh-CN"/>
        </w:rPr>
      </w:pPr>
      <w:r>
        <w:rPr>
          <w:rFonts w:hint="eastAsia"/>
          <w:lang w:val="en-US" w:eastAsia="zh-CN"/>
        </w:rPr>
        <w:t>图-73</w:t>
      </w:r>
    </w:p>
    <w:p w14:paraId="504C025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p>
    <w:p w14:paraId="2D5E61D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lang w:val="en-US" w:eastAsia="zh-CN"/>
        </w:rPr>
      </w:pPr>
      <w:r>
        <w:rPr>
          <w:rFonts w:hint="eastAsia" w:ascii="仿宋_GB2312" w:hAnsi="仿宋_GB2312" w:eastAsia="仿宋_GB2312" w:cs="仿宋_GB2312"/>
          <w:sz w:val="32"/>
          <w:szCs w:val="32"/>
          <w:lang w:val="en-US" w:eastAsia="zh-CN"/>
        </w:rPr>
        <w:t>7.4 查询2022-2025年招生计划。与“2025年招生计划”模块功能相比，增加了年份筛选项，可以跨年度查询招生计划。如图-74、图-75所示，筛选查询方式参照（4.2），筛选结果展示方式与（7.3）一致。</w:t>
      </w:r>
    </w:p>
    <w:p w14:paraId="1EC59176">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10160" b="7620"/>
            <wp:docPr id="5" name="图片 5" descr="C:/Users/admin/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2.png2"/>
                    <pic:cNvPicPr>
                      <a:picLocks noChangeAspect="1"/>
                    </pic:cNvPicPr>
                  </pic:nvPicPr>
                  <pic:blipFill>
                    <a:blip r:embed="rId14"/>
                    <a:srcRect t="241" b="241"/>
                    <a:stretch>
                      <a:fillRect/>
                    </a:stretch>
                  </pic:blipFill>
                  <pic:spPr>
                    <a:xfrm>
                      <a:off x="0" y="0"/>
                      <a:ext cx="5273040" cy="2621280"/>
                    </a:xfrm>
                    <a:prstGeom prst="rect">
                      <a:avLst/>
                    </a:prstGeom>
                  </pic:spPr>
                </pic:pic>
              </a:graphicData>
            </a:graphic>
          </wp:inline>
        </w:drawing>
      </w:r>
    </w:p>
    <w:p w14:paraId="37727F2C">
      <w:pPr>
        <w:widowControl w:val="0"/>
        <w:numPr>
          <w:ilvl w:val="0"/>
          <w:numId w:val="0"/>
        </w:numPr>
        <w:jc w:val="center"/>
        <w:rPr>
          <w:rFonts w:hint="default"/>
          <w:lang w:val="en-US" w:eastAsia="zh-CN"/>
        </w:rPr>
      </w:pPr>
      <w:r>
        <w:rPr>
          <w:rFonts w:hint="eastAsia"/>
          <w:lang w:val="en-US" w:eastAsia="zh-CN"/>
        </w:rPr>
        <w:t>图-74</w:t>
      </w:r>
    </w:p>
    <w:p w14:paraId="7092909E">
      <w:pPr>
        <w:widowControl w:val="0"/>
        <w:numPr>
          <w:ilvl w:val="0"/>
          <w:numId w:val="0"/>
        </w:numPr>
        <w:jc w:val="both"/>
        <w:rPr>
          <w:rFonts w:hint="default"/>
          <w:lang w:val="en-US" w:eastAsia="zh-CN"/>
        </w:rPr>
      </w:pPr>
    </w:p>
    <w:p w14:paraId="2C6D5065">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10160" b="7620"/>
            <wp:docPr id="45" name="图片 45" descr="C:/Users/admin/Desktop/22.pn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Desktop/22.png22"/>
                    <pic:cNvPicPr>
                      <a:picLocks noChangeAspect="1"/>
                    </pic:cNvPicPr>
                  </pic:nvPicPr>
                  <pic:blipFill>
                    <a:blip r:embed="rId15"/>
                    <a:srcRect t="241" b="241"/>
                    <a:stretch>
                      <a:fillRect/>
                    </a:stretch>
                  </pic:blipFill>
                  <pic:spPr>
                    <a:xfrm>
                      <a:off x="0" y="0"/>
                      <a:ext cx="5273040" cy="2621280"/>
                    </a:xfrm>
                    <a:prstGeom prst="rect">
                      <a:avLst/>
                    </a:prstGeom>
                  </pic:spPr>
                </pic:pic>
              </a:graphicData>
            </a:graphic>
          </wp:inline>
        </w:drawing>
      </w:r>
    </w:p>
    <w:p w14:paraId="75315F68">
      <w:pPr>
        <w:widowControl w:val="0"/>
        <w:numPr>
          <w:ilvl w:val="0"/>
          <w:numId w:val="0"/>
        </w:numPr>
        <w:jc w:val="center"/>
        <w:rPr>
          <w:rFonts w:hint="default"/>
          <w:lang w:val="en-US" w:eastAsia="zh-CN"/>
        </w:rPr>
      </w:pPr>
      <w:r>
        <w:rPr>
          <w:rFonts w:hint="eastAsia"/>
          <w:lang w:val="en-US" w:eastAsia="zh-CN"/>
        </w:rPr>
        <w:t>图-75</w:t>
      </w:r>
    </w:p>
    <w:p w14:paraId="167E0393">
      <w:pPr>
        <w:widowControl w:val="0"/>
        <w:numPr>
          <w:ilvl w:val="0"/>
          <w:numId w:val="0"/>
        </w:numPr>
        <w:jc w:val="both"/>
        <w:rPr>
          <w:rFonts w:hint="default"/>
          <w:lang w:val="en-US" w:eastAsia="zh-CN"/>
        </w:rPr>
      </w:pPr>
    </w:p>
    <w:p w14:paraId="295C4604">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八、往年录取</w:t>
      </w:r>
    </w:p>
    <w:p w14:paraId="78057CD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lang w:val="en-US" w:eastAsia="zh-CN"/>
        </w:rPr>
      </w:pPr>
      <w:r>
        <w:rPr>
          <w:rFonts w:hint="eastAsia" w:ascii="仿宋_GB2312" w:hAnsi="仿宋_GB2312" w:eastAsia="仿宋_GB2312" w:cs="仿宋_GB2312"/>
          <w:sz w:val="32"/>
          <w:szCs w:val="32"/>
          <w:lang w:val="en-US" w:eastAsia="zh-CN"/>
        </w:rPr>
        <w:t>8.1 查询2022-2024年录取情况。如图-81所示，筛选项由“院校所在地、主管部门类别、办学层次、院校特性、批次、年份”选项和输入项“院校名称</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组成，筛选项默认全部选择，支持多选，点击“查询”按钮即可查询相应录取信息。查询方式参照（4.2）。</w:t>
      </w:r>
    </w:p>
    <w:p w14:paraId="785EB0C9">
      <w:pPr>
        <w:widowControl w:val="0"/>
        <w:numPr>
          <w:ilvl w:val="0"/>
          <w:numId w:val="0"/>
        </w:numPr>
        <w:jc w:val="both"/>
        <w:rPr>
          <w:rFonts w:hint="default"/>
          <w:lang w:val="en-US" w:eastAsia="zh-CN"/>
        </w:rPr>
      </w:pPr>
      <w:r>
        <w:rPr>
          <w:rFonts w:hint="default"/>
          <w:lang w:val="en-US" w:eastAsia="zh-CN"/>
        </w:rPr>
        <w:drawing>
          <wp:inline distT="0" distB="0" distL="114300" distR="114300">
            <wp:extent cx="5266690" cy="2386330"/>
            <wp:effectExtent l="0" t="0" r="3810" b="1270"/>
            <wp:docPr id="46" name="图片 46" descr="C:/Users/admin/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Desktop/3.png3"/>
                    <pic:cNvPicPr>
                      <a:picLocks noChangeAspect="1"/>
                    </pic:cNvPicPr>
                  </pic:nvPicPr>
                  <pic:blipFill>
                    <a:blip r:embed="rId16">
                      <a:lum bright="6000"/>
                    </a:blip>
                    <a:srcRect t="4642" b="4642"/>
                    <a:stretch>
                      <a:fillRect/>
                    </a:stretch>
                  </pic:blipFill>
                  <pic:spPr>
                    <a:xfrm>
                      <a:off x="0" y="0"/>
                      <a:ext cx="5266690" cy="2386330"/>
                    </a:xfrm>
                    <a:prstGeom prst="rect">
                      <a:avLst/>
                    </a:prstGeom>
                  </pic:spPr>
                </pic:pic>
              </a:graphicData>
            </a:graphic>
          </wp:inline>
        </w:drawing>
      </w:r>
    </w:p>
    <w:p w14:paraId="78D7D33A">
      <w:pPr>
        <w:widowControl w:val="0"/>
        <w:numPr>
          <w:ilvl w:val="0"/>
          <w:numId w:val="0"/>
        </w:numPr>
        <w:jc w:val="center"/>
        <w:rPr>
          <w:rFonts w:hint="default"/>
          <w:lang w:val="en-US" w:eastAsia="zh-CN"/>
        </w:rPr>
      </w:pPr>
      <w:r>
        <w:rPr>
          <w:rFonts w:hint="eastAsia"/>
          <w:lang w:val="en-US" w:eastAsia="zh-CN"/>
        </w:rPr>
        <w:t>图-81</w:t>
      </w:r>
    </w:p>
    <w:p w14:paraId="360BCFE9">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sz w:val="32"/>
          <w:szCs w:val="32"/>
          <w:lang w:val="en-US" w:eastAsia="zh-CN"/>
        </w:rPr>
      </w:pPr>
    </w:p>
    <w:p w14:paraId="3F44B7D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p>
    <w:p w14:paraId="2DEF070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8.2 筛选2022-2024年录取结果。点击“查询”按钮后，系统将展示2022-2024年院校录取筛选结果，如图-82所示，通过列表分页展示录取年份、批次、院校、院校所在地、科类、生源类别、最低排名、操作（专业录取情况）。列表每页显示10条记录，点击右下角页码（或上一页、下一页）可进行翻页查看往年录取信息。</w:t>
      </w:r>
    </w:p>
    <w:p w14:paraId="40C0D2B9">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10160" b="7620"/>
            <wp:docPr id="47" name="图片 47" descr="C:/Users/admin/Desktop/33.png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Desktop/33.png33"/>
                    <pic:cNvPicPr>
                      <a:picLocks noChangeAspect="1"/>
                    </pic:cNvPicPr>
                  </pic:nvPicPr>
                  <pic:blipFill>
                    <a:blip r:embed="rId17"/>
                    <a:srcRect t="241" b="241"/>
                    <a:stretch>
                      <a:fillRect/>
                    </a:stretch>
                  </pic:blipFill>
                  <pic:spPr>
                    <a:xfrm>
                      <a:off x="0" y="0"/>
                      <a:ext cx="5273040" cy="2621280"/>
                    </a:xfrm>
                    <a:prstGeom prst="rect">
                      <a:avLst/>
                    </a:prstGeom>
                  </pic:spPr>
                </pic:pic>
              </a:graphicData>
            </a:graphic>
          </wp:inline>
        </w:drawing>
      </w:r>
    </w:p>
    <w:p w14:paraId="2A661AC3">
      <w:pPr>
        <w:widowControl w:val="0"/>
        <w:numPr>
          <w:ilvl w:val="0"/>
          <w:numId w:val="0"/>
        </w:numPr>
        <w:jc w:val="center"/>
        <w:rPr>
          <w:rFonts w:hint="eastAsia"/>
          <w:lang w:val="en-US" w:eastAsia="zh-CN"/>
        </w:rPr>
      </w:pPr>
      <w:r>
        <w:rPr>
          <w:rFonts w:hint="eastAsia"/>
          <w:lang w:val="en-US" w:eastAsia="zh-CN"/>
        </w:rPr>
        <w:t>图-82</w:t>
      </w:r>
    </w:p>
    <w:p w14:paraId="5C1733C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p>
    <w:p w14:paraId="4DD0749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p>
    <w:p w14:paraId="584E43F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8.3 查看2022-2024年院校专业录取筛选结果。如图-83所示，在列表中点击“专业录取情况”按钮即可进入当前院校专业录取信息列表。如图-84所示，筛选项由“年份、批次”选项和输入项“专业名称”组成，筛选项支持多选，点击“查询”按钮即可查询相应录取信息。通过列表分页展示专业录取年份、批次、院校、专业、科类、生源类别、最低排名信息。查询方式参照（4.2）。</w:t>
      </w:r>
    </w:p>
    <w:p w14:paraId="335A0272">
      <w:pPr>
        <w:widowControl w:val="0"/>
        <w:numPr>
          <w:ilvl w:val="-1"/>
          <w:numId w:val="0"/>
        </w:numPr>
        <w:jc w:val="both"/>
        <w:rPr>
          <w:rFonts w:hint="default"/>
          <w:lang w:val="en-US" w:eastAsia="zh-CN"/>
        </w:rPr>
      </w:pPr>
      <w:r>
        <w:rPr>
          <w:rFonts w:hint="default"/>
          <w:lang w:val="en-US" w:eastAsia="zh-CN"/>
        </w:rPr>
        <w:drawing>
          <wp:inline distT="0" distB="0" distL="114300" distR="114300">
            <wp:extent cx="5273040" cy="2621280"/>
            <wp:effectExtent l="0" t="0" r="10160" b="7620"/>
            <wp:docPr id="48" name="图片 48" descr="C:/Users/admin/Desktop/44.png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Desktop/44.png44"/>
                    <pic:cNvPicPr>
                      <a:picLocks noChangeAspect="1"/>
                    </pic:cNvPicPr>
                  </pic:nvPicPr>
                  <pic:blipFill>
                    <a:blip r:embed="rId18"/>
                    <a:srcRect t="241" b="241"/>
                    <a:stretch>
                      <a:fillRect/>
                    </a:stretch>
                  </pic:blipFill>
                  <pic:spPr>
                    <a:xfrm>
                      <a:off x="0" y="0"/>
                      <a:ext cx="5273040" cy="2621280"/>
                    </a:xfrm>
                    <a:prstGeom prst="rect">
                      <a:avLst/>
                    </a:prstGeom>
                  </pic:spPr>
                </pic:pic>
              </a:graphicData>
            </a:graphic>
          </wp:inline>
        </w:drawing>
      </w:r>
    </w:p>
    <w:p w14:paraId="2BFCC04A">
      <w:pPr>
        <w:widowControl w:val="0"/>
        <w:numPr>
          <w:ilvl w:val="0"/>
          <w:numId w:val="0"/>
        </w:numPr>
        <w:jc w:val="center"/>
        <w:rPr>
          <w:rFonts w:hint="eastAsia"/>
          <w:lang w:val="en-US" w:eastAsia="zh-CN"/>
        </w:rPr>
      </w:pPr>
      <w:r>
        <w:rPr>
          <w:rFonts w:hint="eastAsia"/>
          <w:lang w:val="en-US" w:eastAsia="zh-CN"/>
        </w:rPr>
        <w:t>图-83</w:t>
      </w:r>
    </w:p>
    <w:p w14:paraId="32F99F26">
      <w:pPr>
        <w:widowControl w:val="0"/>
        <w:numPr>
          <w:ilvl w:val="0"/>
          <w:numId w:val="0"/>
        </w:numPr>
        <w:jc w:val="center"/>
        <w:rPr>
          <w:rFonts w:hint="eastAsia"/>
          <w:lang w:val="en-US" w:eastAsia="zh-CN"/>
        </w:rPr>
      </w:pPr>
    </w:p>
    <w:p w14:paraId="72697D66">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10160" b="7620"/>
            <wp:docPr id="49" name="图片 49" descr="C:/Users/admin/Desktop/55.pn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Desktop/55.png55"/>
                    <pic:cNvPicPr>
                      <a:picLocks noChangeAspect="1"/>
                    </pic:cNvPicPr>
                  </pic:nvPicPr>
                  <pic:blipFill>
                    <a:blip r:embed="rId19"/>
                    <a:srcRect t="241" b="241"/>
                    <a:stretch>
                      <a:fillRect/>
                    </a:stretch>
                  </pic:blipFill>
                  <pic:spPr>
                    <a:xfrm>
                      <a:off x="0" y="0"/>
                      <a:ext cx="5273040" cy="2621280"/>
                    </a:xfrm>
                    <a:prstGeom prst="rect">
                      <a:avLst/>
                    </a:prstGeom>
                  </pic:spPr>
                </pic:pic>
              </a:graphicData>
            </a:graphic>
          </wp:inline>
        </w:drawing>
      </w:r>
    </w:p>
    <w:p w14:paraId="77AECD2F">
      <w:pPr>
        <w:widowControl w:val="0"/>
        <w:numPr>
          <w:ilvl w:val="0"/>
          <w:numId w:val="0"/>
        </w:numPr>
        <w:jc w:val="center"/>
        <w:rPr>
          <w:rFonts w:hint="eastAsia"/>
          <w:lang w:val="en-US" w:eastAsia="zh-CN"/>
        </w:rPr>
      </w:pPr>
      <w:r>
        <w:rPr>
          <w:rFonts w:hint="eastAsia"/>
          <w:lang w:val="en-US" w:eastAsia="zh-CN"/>
        </w:rPr>
        <w:t>图-84</w:t>
      </w:r>
    </w:p>
    <w:p w14:paraId="27E7B8BE">
      <w:pPr>
        <w:widowControl w:val="0"/>
        <w:numPr>
          <w:ilvl w:val="0"/>
          <w:numId w:val="0"/>
        </w:numPr>
        <w:jc w:val="center"/>
        <w:rPr>
          <w:rFonts w:hint="eastAsia"/>
          <w:lang w:val="en-US" w:eastAsia="zh-CN"/>
        </w:rPr>
      </w:pPr>
    </w:p>
    <w:p w14:paraId="16F8C6AD">
      <w:pPr>
        <w:widowControl w:val="0"/>
        <w:numPr>
          <w:ilvl w:val="0"/>
          <w:numId w:val="0"/>
        </w:numPr>
        <w:ind w:firstLine="640" w:firstLineChars="20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九、志愿备选（参考）</w:t>
      </w:r>
    </w:p>
    <w:p w14:paraId="3ADDCF1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9.1 设置志愿意向。根据考生的志愿意向选择“院校所在地、主管部门类别、院校特性、批次”选项，支持多选，选择完成后点击“保存”按钮即可保存志愿意向。如图-91所示，选择了&lt;西藏&gt;&lt;“双一流”建设高校&gt;，表示当前的志愿意向是想报考西藏的院校，且院校特性是“双一流”建设高校。</w:t>
      </w:r>
    </w:p>
    <w:p w14:paraId="7B90BA64">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10160" b="7620"/>
            <wp:docPr id="50" name="图片 50" descr="C:/Users/admin/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Desktop/4.png4"/>
                    <pic:cNvPicPr>
                      <a:picLocks noChangeAspect="1"/>
                    </pic:cNvPicPr>
                  </pic:nvPicPr>
                  <pic:blipFill>
                    <a:blip r:embed="rId20"/>
                    <a:srcRect t="241" b="241"/>
                    <a:stretch>
                      <a:fillRect/>
                    </a:stretch>
                  </pic:blipFill>
                  <pic:spPr>
                    <a:xfrm>
                      <a:off x="0" y="0"/>
                      <a:ext cx="5273040" cy="2621280"/>
                    </a:xfrm>
                    <a:prstGeom prst="rect">
                      <a:avLst/>
                    </a:prstGeom>
                  </pic:spPr>
                </pic:pic>
              </a:graphicData>
            </a:graphic>
          </wp:inline>
        </w:drawing>
      </w:r>
    </w:p>
    <w:p w14:paraId="4150D65D">
      <w:pPr>
        <w:widowControl w:val="0"/>
        <w:numPr>
          <w:ilvl w:val="0"/>
          <w:numId w:val="0"/>
        </w:numPr>
        <w:jc w:val="center"/>
        <w:rPr>
          <w:rFonts w:hint="eastAsia"/>
          <w:lang w:val="en-US" w:eastAsia="zh-CN"/>
        </w:rPr>
      </w:pPr>
      <w:r>
        <w:rPr>
          <w:rFonts w:hint="eastAsia"/>
          <w:lang w:val="en-US" w:eastAsia="zh-CN"/>
        </w:rPr>
        <w:t>图-91</w:t>
      </w:r>
    </w:p>
    <w:p w14:paraId="5038101C">
      <w:pPr>
        <w:widowControl w:val="0"/>
        <w:numPr>
          <w:ilvl w:val="0"/>
          <w:numId w:val="0"/>
        </w:numPr>
        <w:ind w:firstLine="640" w:firstLineChars="200"/>
        <w:jc w:val="left"/>
        <w:rPr>
          <w:rFonts w:hint="eastAsia"/>
          <w:lang w:val="en-US" w:eastAsia="zh-CN"/>
        </w:rPr>
      </w:pPr>
      <w:r>
        <w:rPr>
          <w:rFonts w:hint="eastAsia" w:ascii="仿宋_GB2312" w:hAnsi="仿宋_GB2312" w:eastAsia="仿宋_GB2312" w:cs="仿宋_GB2312"/>
          <w:sz w:val="32"/>
          <w:szCs w:val="32"/>
          <w:lang w:val="en-US" w:eastAsia="zh-CN"/>
        </w:rPr>
        <w:t>9.2查看志愿备选。根据保存成功的志愿意向，结合当前考生的特征总分、排名、科类、生源类别，以及历年院校专业的录取情况，综合得出志愿备选院校及专业参考信息。如图-92所示。志愿备选展示的信息由“批次名称、院校名称、专业名称”组成，考生可在列表中查看院校招生章程、院校满意度、专业满意度、专业推荐、专业介绍、就业情况、升学比例、职业评价、薪酬指数。</w:t>
      </w:r>
      <w:r>
        <w:rPr>
          <w:rFonts w:hint="eastAsia" w:ascii="仿宋_GB2312" w:hAnsi="仿宋_GB2312" w:eastAsia="仿宋_GB2312" w:cs="仿宋_GB2312"/>
          <w:b/>
          <w:bCs/>
          <w:color w:val="FF0000"/>
          <w:sz w:val="32"/>
          <w:szCs w:val="32"/>
          <w:lang w:val="en-US" w:eastAsia="zh-CN"/>
        </w:rPr>
        <w:t>注意：系统推荐的志愿备选院校及专业仅供参考，顺序不分先后。考生应在全面了解我区录取批次设置、志愿设置、投档规则、录取规则和有关高校招生章程后，结合本人排名、兴趣、能力倾向以及生涯规划等，认真填报自己的高考志愿，不得由他人代填</w:t>
      </w:r>
    </w:p>
    <w:p w14:paraId="726EC05C">
      <w:pPr>
        <w:widowControl w:val="0"/>
        <w:numPr>
          <w:ilvl w:val="0"/>
          <w:numId w:val="0"/>
        </w:numPr>
        <w:jc w:val="center"/>
        <w:rPr>
          <w:rFonts w:hint="eastAsia"/>
          <w:lang w:val="en-US" w:eastAsia="zh-CN"/>
        </w:rPr>
      </w:pPr>
    </w:p>
    <w:p w14:paraId="3BB93FAF">
      <w:pPr>
        <w:widowControl w:val="0"/>
        <w:numPr>
          <w:ilvl w:val="0"/>
          <w:numId w:val="0"/>
        </w:numPr>
        <w:jc w:val="center"/>
        <w:rPr>
          <w:rFonts w:hint="default"/>
          <w:lang w:val="en" w:eastAsia="zh-CN"/>
        </w:rPr>
      </w:pPr>
    </w:p>
    <w:p w14:paraId="1A48E9C5">
      <w:pPr>
        <w:widowControl w:val="0"/>
        <w:numPr>
          <w:ilvl w:val="0"/>
          <w:numId w:val="0"/>
        </w:numPr>
        <w:jc w:val="both"/>
        <w:rPr>
          <w:rFonts w:hint="eastAsia"/>
          <w:lang w:val="en-US" w:eastAsia="zh-CN"/>
        </w:rPr>
      </w:pPr>
      <w:r>
        <w:rPr>
          <w:rFonts w:hint="eastAsia"/>
          <w:lang w:val="en-US" w:eastAsia="zh-CN"/>
        </w:rPr>
        <w:drawing>
          <wp:inline distT="0" distB="0" distL="114300" distR="114300">
            <wp:extent cx="5260340" cy="2626995"/>
            <wp:effectExtent l="0" t="0" r="10160" b="1905"/>
            <wp:docPr id="11" name="图片 11" descr="b9c65fd75aacbb9e193b4f73ab5f1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9c65fd75aacbb9e193b4f73ab5f1ab"/>
                    <pic:cNvPicPr>
                      <a:picLocks noChangeAspect="1"/>
                    </pic:cNvPicPr>
                  </pic:nvPicPr>
                  <pic:blipFill>
                    <a:blip r:embed="rId21"/>
                    <a:stretch>
                      <a:fillRect/>
                    </a:stretch>
                  </pic:blipFill>
                  <pic:spPr>
                    <a:xfrm>
                      <a:off x="0" y="0"/>
                      <a:ext cx="5260340" cy="2626995"/>
                    </a:xfrm>
                    <a:prstGeom prst="rect">
                      <a:avLst/>
                    </a:prstGeom>
                  </pic:spPr>
                </pic:pic>
              </a:graphicData>
            </a:graphic>
          </wp:inline>
        </w:drawing>
      </w:r>
    </w:p>
    <w:p w14:paraId="06B06759">
      <w:pPr>
        <w:widowControl w:val="0"/>
        <w:numPr>
          <w:ilvl w:val="0"/>
          <w:numId w:val="0"/>
        </w:numPr>
        <w:jc w:val="center"/>
        <w:rPr>
          <w:rFonts w:hint="default"/>
          <w:lang w:val="en-US" w:eastAsia="zh-CN"/>
        </w:rPr>
      </w:pPr>
      <w:r>
        <w:rPr>
          <w:rFonts w:hint="eastAsia"/>
          <w:lang w:val="en-US" w:eastAsia="zh-CN"/>
        </w:rPr>
        <w:t>图-92</w:t>
      </w:r>
    </w:p>
    <w:p w14:paraId="70B7FAA9">
      <w:pPr>
        <w:widowControl w:val="0"/>
        <w:numPr>
          <w:ilvl w:val="0"/>
          <w:numId w:val="0"/>
        </w:numPr>
        <w:jc w:val="both"/>
        <w:rPr>
          <w:rFonts w:hint="default"/>
          <w:lang w:val="en-US" w:eastAsia="zh-CN"/>
        </w:rPr>
      </w:pPr>
    </w:p>
    <w:p w14:paraId="4A131100">
      <w:pPr>
        <w:widowControl w:val="0"/>
        <w:numPr>
          <w:ilvl w:val="0"/>
          <w:numId w:val="0"/>
        </w:numPr>
        <w:jc w:val="both"/>
        <w:rPr>
          <w:rFonts w:hint="default"/>
          <w:lang w:val="en-US" w:eastAsia="zh-CN"/>
        </w:rPr>
      </w:pPr>
    </w:p>
    <w:p w14:paraId="72A1761C">
      <w:pPr>
        <w:widowControl w:val="0"/>
        <w:numPr>
          <w:ilvl w:val="0"/>
          <w:numId w:val="0"/>
        </w:numPr>
        <w:ind w:firstLine="640" w:firstLineChars="200"/>
        <w:jc w:val="both"/>
        <w:outlineLvl w:val="1"/>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十、志愿模拟</w:t>
      </w:r>
    </w:p>
    <w:p w14:paraId="1A93F03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10.1 志愿模拟填报。系统提供志愿模拟填报功能，</w:t>
      </w:r>
      <w:r>
        <w:rPr>
          <w:rFonts w:hint="eastAsia" w:ascii="仿宋_GB2312" w:hAnsi="仿宋_GB2312" w:eastAsia="仿宋_GB2312" w:cs="仿宋_GB2312"/>
          <w:color w:val="FF0000"/>
          <w:sz w:val="32"/>
          <w:szCs w:val="32"/>
          <w:lang w:val="en-US" w:eastAsia="zh-CN"/>
        </w:rPr>
        <w:t>仅供参考和熟悉志愿填报操作。</w:t>
      </w:r>
      <w:r>
        <w:rPr>
          <w:rFonts w:hint="eastAsia" w:ascii="仿宋_GB2312" w:hAnsi="仿宋_GB2312" w:eastAsia="仿宋_GB2312" w:cs="仿宋_GB2312"/>
          <w:sz w:val="32"/>
          <w:szCs w:val="32"/>
          <w:lang w:val="en-US" w:eastAsia="zh-CN"/>
        </w:rPr>
        <w:t>志愿模拟填报的选择顺序依次为：批次、院校、专业、专业服从调剂，如图-101所示。选择完成后点击“保存模拟志愿”并确定即可保存当前批次模拟志愿，如图-102所示。同批次系统只保留最后一次提交确认的模拟志愿。</w:t>
      </w:r>
    </w:p>
    <w:p w14:paraId="4F355802">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10160" b="7620"/>
            <wp:docPr id="52" name="图片 52" descr="171945666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19456662062"/>
                    <pic:cNvPicPr>
                      <a:picLocks noChangeAspect="1"/>
                    </pic:cNvPicPr>
                  </pic:nvPicPr>
                  <pic:blipFill>
                    <a:blip r:embed="rId22"/>
                    <a:stretch>
                      <a:fillRect/>
                    </a:stretch>
                  </pic:blipFill>
                  <pic:spPr>
                    <a:xfrm>
                      <a:off x="0" y="0"/>
                      <a:ext cx="5273040" cy="2621280"/>
                    </a:xfrm>
                    <a:prstGeom prst="rect">
                      <a:avLst/>
                    </a:prstGeom>
                  </pic:spPr>
                </pic:pic>
              </a:graphicData>
            </a:graphic>
          </wp:inline>
        </w:drawing>
      </w:r>
    </w:p>
    <w:p w14:paraId="3C95F90A">
      <w:pPr>
        <w:widowControl w:val="0"/>
        <w:numPr>
          <w:ilvl w:val="0"/>
          <w:numId w:val="0"/>
        </w:numPr>
        <w:jc w:val="center"/>
        <w:rPr>
          <w:rFonts w:hint="eastAsia"/>
          <w:lang w:val="en-US" w:eastAsia="zh-CN"/>
        </w:rPr>
      </w:pPr>
      <w:r>
        <w:rPr>
          <w:rFonts w:hint="eastAsia"/>
          <w:lang w:val="en-US" w:eastAsia="zh-CN"/>
        </w:rPr>
        <w:t>图-101</w:t>
      </w:r>
    </w:p>
    <w:p w14:paraId="68240DE4">
      <w:pPr>
        <w:widowControl w:val="0"/>
        <w:numPr>
          <w:ilvl w:val="0"/>
          <w:numId w:val="0"/>
        </w:numPr>
        <w:jc w:val="center"/>
        <w:rPr>
          <w:rFonts w:hint="default"/>
          <w:lang w:val="en-US" w:eastAsia="zh-CN"/>
        </w:rPr>
      </w:pPr>
    </w:p>
    <w:p w14:paraId="0BCBACCB">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10160" b="7620"/>
            <wp:docPr id="53" name="图片 53" descr="171945668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719456686498"/>
                    <pic:cNvPicPr>
                      <a:picLocks noChangeAspect="1"/>
                    </pic:cNvPicPr>
                  </pic:nvPicPr>
                  <pic:blipFill>
                    <a:blip r:embed="rId23"/>
                    <a:stretch>
                      <a:fillRect/>
                    </a:stretch>
                  </pic:blipFill>
                  <pic:spPr>
                    <a:xfrm>
                      <a:off x="0" y="0"/>
                      <a:ext cx="5273040" cy="2621280"/>
                    </a:xfrm>
                    <a:prstGeom prst="rect">
                      <a:avLst/>
                    </a:prstGeom>
                  </pic:spPr>
                </pic:pic>
              </a:graphicData>
            </a:graphic>
          </wp:inline>
        </w:drawing>
      </w:r>
    </w:p>
    <w:p w14:paraId="10243C7A">
      <w:pPr>
        <w:widowControl w:val="0"/>
        <w:numPr>
          <w:ilvl w:val="0"/>
          <w:numId w:val="0"/>
        </w:numPr>
        <w:jc w:val="center"/>
        <w:rPr>
          <w:rFonts w:hint="default"/>
          <w:lang w:val="en-US" w:eastAsia="zh-CN"/>
        </w:rPr>
      </w:pPr>
      <w:r>
        <w:rPr>
          <w:rFonts w:hint="eastAsia"/>
          <w:lang w:val="en-US" w:eastAsia="zh-CN"/>
        </w:rPr>
        <w:t>图-102</w:t>
      </w:r>
    </w:p>
    <w:p w14:paraId="7F72167A">
      <w:pPr>
        <w:widowControl w:val="0"/>
        <w:numPr>
          <w:ilvl w:val="0"/>
          <w:numId w:val="0"/>
        </w:numPr>
        <w:jc w:val="both"/>
        <w:rPr>
          <w:rFonts w:hint="default"/>
          <w:lang w:val="en-US" w:eastAsia="zh-CN"/>
        </w:rPr>
      </w:pPr>
    </w:p>
    <w:p w14:paraId="536671D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10.2 查看志愿模拟结果。志愿模拟填报保存确认成功后，点击“志愿模拟结果”，可以查看已保存的志愿模拟填报结果，如图-103所示。点击“下载模拟志愿”即可下载志愿模拟填报结果PDF文件，如图-104所示。</w:t>
      </w:r>
    </w:p>
    <w:p w14:paraId="27BCF727">
      <w:pPr>
        <w:widowControl w:val="0"/>
        <w:numPr>
          <w:ilvl w:val="0"/>
          <w:numId w:val="0"/>
        </w:numPr>
        <w:ind w:firstLine="420" w:firstLineChars="0"/>
        <w:jc w:val="both"/>
        <w:rPr>
          <w:rFonts w:hint="eastAsia"/>
          <w:lang w:val="en-US" w:eastAsia="zh-CN"/>
        </w:rPr>
      </w:pPr>
    </w:p>
    <w:p w14:paraId="418EA3D4">
      <w:pPr>
        <w:widowControl w:val="0"/>
        <w:numPr>
          <w:ilvl w:val="0"/>
          <w:numId w:val="0"/>
        </w:numPr>
        <w:jc w:val="both"/>
        <w:rPr>
          <w:rFonts w:hint="default"/>
          <w:lang w:val="en-US" w:eastAsia="zh-CN"/>
        </w:rPr>
      </w:pPr>
      <w:r>
        <w:rPr>
          <w:rFonts w:hint="default"/>
          <w:lang w:val="en-US" w:eastAsia="zh-CN"/>
        </w:rPr>
        <w:drawing>
          <wp:inline distT="0" distB="0" distL="114300" distR="114300">
            <wp:extent cx="5273040" cy="2621280"/>
            <wp:effectExtent l="0" t="0" r="10160" b="7620"/>
            <wp:docPr id="54" name="图片 54" descr="171945671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719456713545"/>
                    <pic:cNvPicPr>
                      <a:picLocks noChangeAspect="1"/>
                    </pic:cNvPicPr>
                  </pic:nvPicPr>
                  <pic:blipFill>
                    <a:blip r:embed="rId24"/>
                    <a:stretch>
                      <a:fillRect/>
                    </a:stretch>
                  </pic:blipFill>
                  <pic:spPr>
                    <a:xfrm>
                      <a:off x="0" y="0"/>
                      <a:ext cx="5273040" cy="2621280"/>
                    </a:xfrm>
                    <a:prstGeom prst="rect">
                      <a:avLst/>
                    </a:prstGeom>
                  </pic:spPr>
                </pic:pic>
              </a:graphicData>
            </a:graphic>
          </wp:inline>
        </w:drawing>
      </w:r>
    </w:p>
    <w:p w14:paraId="143D7F49">
      <w:pPr>
        <w:widowControl w:val="0"/>
        <w:numPr>
          <w:ilvl w:val="0"/>
          <w:numId w:val="0"/>
        </w:numPr>
        <w:jc w:val="center"/>
        <w:rPr>
          <w:rFonts w:hint="default"/>
          <w:lang w:val="en-US" w:eastAsia="zh-CN"/>
        </w:rPr>
      </w:pPr>
      <w:r>
        <w:rPr>
          <w:rFonts w:hint="eastAsia"/>
          <w:lang w:val="en-US" w:eastAsia="zh-CN"/>
        </w:rPr>
        <w:t>图-103</w:t>
      </w:r>
    </w:p>
    <w:p w14:paraId="5B8B078C">
      <w:pPr>
        <w:widowControl w:val="0"/>
        <w:numPr>
          <w:ilvl w:val="0"/>
          <w:numId w:val="0"/>
        </w:numPr>
        <w:jc w:val="center"/>
        <w:rPr>
          <w:rFonts w:hint="default"/>
          <w:lang w:val="en-US" w:eastAsia="zh-CN"/>
        </w:rPr>
      </w:pPr>
      <w:r>
        <w:rPr>
          <w:rFonts w:hint="default"/>
          <w:lang w:val="en-US" w:eastAsia="zh-CN"/>
        </w:rPr>
        <w:drawing>
          <wp:inline distT="0" distB="0" distL="114300" distR="114300">
            <wp:extent cx="4361815" cy="3204210"/>
            <wp:effectExtent l="0" t="0" r="6985" b="8890"/>
            <wp:docPr id="21" name="图片 21" descr="171911431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19114312672"/>
                    <pic:cNvPicPr>
                      <a:picLocks noChangeAspect="1"/>
                    </pic:cNvPicPr>
                  </pic:nvPicPr>
                  <pic:blipFill>
                    <a:blip r:embed="rId25"/>
                    <a:stretch>
                      <a:fillRect/>
                    </a:stretch>
                  </pic:blipFill>
                  <pic:spPr>
                    <a:xfrm>
                      <a:off x="0" y="0"/>
                      <a:ext cx="4361815" cy="3204210"/>
                    </a:xfrm>
                    <a:prstGeom prst="rect">
                      <a:avLst/>
                    </a:prstGeom>
                  </pic:spPr>
                </pic:pic>
              </a:graphicData>
            </a:graphic>
          </wp:inline>
        </w:drawing>
      </w:r>
    </w:p>
    <w:p w14:paraId="75394DC2">
      <w:pPr>
        <w:widowControl w:val="0"/>
        <w:numPr>
          <w:ilvl w:val="0"/>
          <w:numId w:val="0"/>
        </w:numPr>
        <w:jc w:val="center"/>
        <w:rPr>
          <w:rFonts w:hint="default"/>
          <w:lang w:val="en-US" w:eastAsia="zh-CN"/>
        </w:rPr>
      </w:pPr>
      <w:r>
        <w:rPr>
          <w:rFonts w:hint="eastAsia"/>
          <w:lang w:val="en-US" w:eastAsia="zh-CN"/>
        </w:rPr>
        <w:t>图-104</w:t>
      </w:r>
    </w:p>
    <w:p w14:paraId="2D13B70F">
      <w:pPr>
        <w:widowControl w:val="0"/>
        <w:numPr>
          <w:ilvl w:val="0"/>
          <w:numId w:val="0"/>
        </w:numPr>
        <w:ind w:firstLine="640" w:firstLineChars="200"/>
        <w:jc w:val="both"/>
        <w:outlineLvl w:val="9"/>
        <w:rPr>
          <w:rFonts w:hint="default" w:ascii="黑体" w:hAnsi="黑体" w:eastAsia="黑体" w:cs="黑体"/>
          <w:b w:val="0"/>
          <w:bCs w:val="0"/>
          <w:sz w:val="32"/>
          <w:szCs w:val="32"/>
          <w:lang w:val="en-US" w:eastAsia="zh-CN"/>
        </w:rPr>
      </w:pPr>
    </w:p>
    <w:p w14:paraId="2C298E51">
      <w:pPr>
        <w:widowControl w:val="0"/>
        <w:numPr>
          <w:ilvl w:val="0"/>
          <w:numId w:val="0"/>
        </w:numPr>
        <w:ind w:firstLine="640" w:firstLineChars="200"/>
        <w:jc w:val="both"/>
        <w:outlineLvl w:val="1"/>
        <w:rPr>
          <w:rFonts w:hint="default"/>
          <w:b/>
          <w:bCs/>
          <w:lang w:val="en-US" w:eastAsia="zh-CN"/>
        </w:rPr>
      </w:pPr>
      <w:r>
        <w:rPr>
          <w:rFonts w:hint="eastAsia" w:ascii="黑体" w:hAnsi="黑体" w:eastAsia="黑体" w:cs="黑体"/>
          <w:b w:val="0"/>
          <w:bCs w:val="0"/>
          <w:sz w:val="32"/>
          <w:szCs w:val="32"/>
          <w:lang w:val="en-US" w:eastAsia="zh-CN"/>
        </w:rPr>
        <w:t>十一、留言反馈</w:t>
      </w:r>
    </w:p>
    <w:p w14:paraId="1650E81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11.1 点击“留言反馈”-“添加留言反馈”，考生可就志愿填报辅助系统提出意见建议。如图-111所示。</w:t>
      </w:r>
    </w:p>
    <w:p w14:paraId="7D4BC04D">
      <w:pPr>
        <w:widowControl w:val="0"/>
        <w:numPr>
          <w:ilvl w:val="0"/>
          <w:numId w:val="0"/>
        </w:numPr>
        <w:ind w:firstLine="0" w:firstLineChars="0"/>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drawing>
          <wp:inline distT="0" distB="0" distL="114300" distR="114300">
            <wp:extent cx="5265420" cy="2567940"/>
            <wp:effectExtent l="0" t="0" r="5080" b="10160"/>
            <wp:docPr id="2" name="图片 2" descr="d643177f369f51d33d5193ed0e8b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643177f369f51d33d5193ed0e8bded"/>
                    <pic:cNvPicPr>
                      <a:picLocks noChangeAspect="1"/>
                    </pic:cNvPicPr>
                  </pic:nvPicPr>
                  <pic:blipFill>
                    <a:blip r:embed="rId26"/>
                    <a:stretch>
                      <a:fillRect/>
                    </a:stretch>
                  </pic:blipFill>
                  <pic:spPr>
                    <a:xfrm>
                      <a:off x="0" y="0"/>
                      <a:ext cx="5265420" cy="2567940"/>
                    </a:xfrm>
                    <a:prstGeom prst="rect">
                      <a:avLst/>
                    </a:prstGeom>
                  </pic:spPr>
                </pic:pic>
              </a:graphicData>
            </a:graphic>
          </wp:inline>
        </w:drawing>
      </w:r>
    </w:p>
    <w:p w14:paraId="3147A471">
      <w:pPr>
        <w:widowControl w:val="0"/>
        <w:numPr>
          <w:ilvl w:val="0"/>
          <w:numId w:val="0"/>
        </w:numPr>
        <w:jc w:val="center"/>
        <w:rPr>
          <w:rFonts w:hint="default"/>
          <w:lang w:val="en-US" w:eastAsia="zh-CN"/>
        </w:rPr>
      </w:pPr>
      <w:r>
        <w:rPr>
          <w:rFonts w:hint="eastAsia"/>
          <w:lang w:val="en-US" w:eastAsia="zh-CN"/>
        </w:rPr>
        <w:t>图-111</w:t>
      </w:r>
    </w:p>
    <w:p w14:paraId="0810E56B">
      <w:pPr>
        <w:widowControl w:val="0"/>
        <w:numPr>
          <w:ilvl w:val="0"/>
          <w:numId w:val="0"/>
        </w:numPr>
        <w:ind w:firstLine="0" w:firstLineChars="0"/>
        <w:jc w:val="both"/>
        <w:outlineLvl w:val="1"/>
        <w:rPr>
          <w:rFonts w:hint="eastAsia" w:ascii="黑体" w:hAnsi="黑体" w:eastAsia="黑体" w:cs="黑体"/>
          <w:b w:val="0"/>
          <w:bCs w:val="0"/>
          <w:sz w:val="32"/>
          <w:szCs w:val="32"/>
          <w:lang w:val="en-US" w:eastAsia="zh-CN"/>
        </w:rPr>
      </w:pPr>
    </w:p>
    <w:p w14:paraId="7C6A4D54">
      <w:pPr>
        <w:widowControl w:val="0"/>
        <w:numPr>
          <w:ilvl w:val="0"/>
          <w:numId w:val="0"/>
        </w:numPr>
        <w:ind w:firstLine="640" w:firstLineChars="200"/>
        <w:jc w:val="both"/>
        <w:outlineLvl w:val="1"/>
        <w:rPr>
          <w:rFonts w:hint="default"/>
          <w:b/>
          <w:bCs/>
          <w:lang w:val="en-US" w:eastAsia="zh-CN"/>
        </w:rPr>
      </w:pPr>
      <w:r>
        <w:rPr>
          <w:rFonts w:hint="eastAsia" w:ascii="黑体" w:hAnsi="黑体" w:eastAsia="黑体" w:cs="黑体"/>
          <w:b w:val="0"/>
          <w:bCs w:val="0"/>
          <w:sz w:val="32"/>
          <w:szCs w:val="32"/>
          <w:lang w:val="en-US" w:eastAsia="zh-CN"/>
        </w:rPr>
        <w:t>十二、退出系统</w:t>
      </w:r>
    </w:p>
    <w:p w14:paraId="1C4A1729">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12.1 点击“退出系统”并确定即可退出系统。如图-121所示。每次登录后请确认退出系统。</w:t>
      </w:r>
    </w:p>
    <w:p w14:paraId="0B1EC0A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default" w:ascii="仿宋_GB2312" w:hAnsi="仿宋_GB2312" w:eastAsia="仿宋_GB2312" w:cs="仿宋_GB2312"/>
          <w:sz w:val="32"/>
          <w:szCs w:val="32"/>
          <w:lang w:val="en-US" w:eastAsia="zh-CN"/>
        </w:rPr>
      </w:pPr>
    </w:p>
    <w:p w14:paraId="4353D3BB">
      <w:pPr>
        <w:widowControl w:val="0"/>
        <w:numPr>
          <w:ilvl w:val="0"/>
          <w:numId w:val="0"/>
        </w:numPr>
        <w:jc w:val="center"/>
        <w:rPr>
          <w:rFonts w:hint="default"/>
          <w:lang w:val="en-US" w:eastAsia="zh-CN"/>
        </w:rPr>
      </w:pPr>
      <w:r>
        <w:rPr>
          <w:rFonts w:hint="default"/>
          <w:lang w:val="en-US" w:eastAsia="zh-CN"/>
        </w:rPr>
        <w:drawing>
          <wp:inline distT="0" distB="0" distL="114300" distR="114300">
            <wp:extent cx="3093720" cy="1402080"/>
            <wp:effectExtent l="0" t="0" r="5080" b="7620"/>
            <wp:docPr id="24" name="图片 24" descr="171942428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19424284659"/>
                    <pic:cNvPicPr>
                      <a:picLocks noChangeAspect="1"/>
                    </pic:cNvPicPr>
                  </pic:nvPicPr>
                  <pic:blipFill>
                    <a:blip r:embed="rId27"/>
                    <a:stretch>
                      <a:fillRect/>
                    </a:stretch>
                  </pic:blipFill>
                  <pic:spPr>
                    <a:xfrm>
                      <a:off x="0" y="0"/>
                      <a:ext cx="3093720" cy="1402080"/>
                    </a:xfrm>
                    <a:prstGeom prst="rect">
                      <a:avLst/>
                    </a:prstGeom>
                  </pic:spPr>
                </pic:pic>
              </a:graphicData>
            </a:graphic>
          </wp:inline>
        </w:drawing>
      </w:r>
    </w:p>
    <w:p w14:paraId="5901F4CC">
      <w:pPr>
        <w:widowControl w:val="0"/>
        <w:numPr>
          <w:ilvl w:val="0"/>
          <w:numId w:val="0"/>
        </w:numPr>
        <w:jc w:val="center"/>
        <w:rPr>
          <w:rFonts w:hint="default" w:ascii="黑体" w:hAnsi="黑体" w:eastAsia="黑体" w:cs="黑体"/>
          <w:b w:val="0"/>
          <w:bCs w:val="0"/>
          <w:sz w:val="32"/>
          <w:szCs w:val="32"/>
          <w:lang w:val="en-US" w:eastAsia="zh-CN"/>
        </w:rPr>
      </w:pPr>
      <w:r>
        <w:rPr>
          <w:rFonts w:hint="eastAsia"/>
          <w:lang w:val="en-US" w:eastAsia="zh-CN"/>
        </w:rPr>
        <w:t>图-121</w:t>
      </w:r>
    </w:p>
    <w:p w14:paraId="222D9CD4">
      <w:pPr>
        <w:widowControl w:val="0"/>
        <w:numPr>
          <w:ilvl w:val="0"/>
          <w:numId w:val="0"/>
        </w:numPr>
        <w:ind w:firstLine="0" w:firstLineChars="0"/>
        <w:jc w:val="both"/>
        <w:outlineLvl w:val="9"/>
        <w:rPr>
          <w:rFonts w:hint="eastAsia" w:ascii="黑体" w:hAnsi="黑体" w:eastAsia="黑体" w:cs="黑体"/>
          <w:b w:val="0"/>
          <w:bCs w:val="0"/>
          <w:sz w:val="32"/>
          <w:szCs w:val="32"/>
          <w:lang w:val="en-US" w:eastAsia="zh-CN"/>
        </w:rPr>
      </w:pPr>
    </w:p>
    <w:p w14:paraId="690BB6F2">
      <w:pPr>
        <w:widowControl w:val="0"/>
        <w:numPr>
          <w:ilvl w:val="0"/>
          <w:numId w:val="0"/>
        </w:numPr>
        <w:ind w:firstLine="640" w:firstLineChars="200"/>
        <w:jc w:val="both"/>
        <w:outlineLvl w:val="1"/>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十三、重要链接</w:t>
      </w:r>
    </w:p>
    <w:p w14:paraId="545360A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13.1 教育部阳光高考网站链接，点击菜单栏底部“阳光高考”图标即可跳转至教育部阳光高考网站—教育部高校招生阳光工程指定平台。如图-131所示。</w:t>
      </w:r>
    </w:p>
    <w:p w14:paraId="6AAEE85C">
      <w:pPr>
        <w:widowControl w:val="0"/>
        <w:numPr>
          <w:ilvl w:val="0"/>
          <w:numId w:val="0"/>
        </w:numPr>
        <w:jc w:val="center"/>
        <w:rPr>
          <w:rFonts w:hint="default"/>
          <w:lang w:val="en-US" w:eastAsia="zh-CN"/>
        </w:rPr>
      </w:pPr>
      <w:r>
        <w:rPr>
          <w:rFonts w:hint="default"/>
          <w:lang w:val="en-US" w:eastAsia="zh-CN"/>
        </w:rPr>
        <w:drawing>
          <wp:inline distT="0" distB="0" distL="114300" distR="114300">
            <wp:extent cx="3383280" cy="2225040"/>
            <wp:effectExtent l="0" t="0" r="7620" b="10160"/>
            <wp:docPr id="20" name="图片 20" descr="171942418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19424180507"/>
                    <pic:cNvPicPr>
                      <a:picLocks noChangeAspect="1"/>
                    </pic:cNvPicPr>
                  </pic:nvPicPr>
                  <pic:blipFill>
                    <a:blip r:embed="rId28"/>
                    <a:stretch>
                      <a:fillRect/>
                    </a:stretch>
                  </pic:blipFill>
                  <pic:spPr>
                    <a:xfrm>
                      <a:off x="0" y="0"/>
                      <a:ext cx="3383280" cy="2225040"/>
                    </a:xfrm>
                    <a:prstGeom prst="rect">
                      <a:avLst/>
                    </a:prstGeom>
                  </pic:spPr>
                </pic:pic>
              </a:graphicData>
            </a:graphic>
          </wp:inline>
        </w:drawing>
      </w:r>
    </w:p>
    <w:p w14:paraId="12797596">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D72074"/>
    <w:rsid w:val="54D720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2025-06-26T16:12:00Z</dcterms:created>
  <dc:creator>九寸信仰'</dc:creator>
  <cp:lastModifiedBy>九寸信仰'</cp:lastModifiedBy>
  <dcterms:modified xsi:type="dcterms:W3CDTF">2025-06-26T16:12:52Z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55A57EE1B0AA42648F7BD738FC0D5970_11</vt:lpwstr>
  </property>
  <property fmtid="{D5CDD505-2E9C-101B-9397-08002B2CF9AE}" pid="4" name="KSOTemplateDocerSaveRecord">
    <vt:lpwstr>eyJoZGlkIjoiM2ZkMWMxZGU5MmQxYzVmMGU0NWQwODQ5MThjOGViZDUiLCJ1c2VySWQiOiI2ODM2MjI4MTAifQ==</vt:lpwstr>
  </property>
</Properties>
</file>